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40"/>
          <w:szCs w:val="4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40"/>
          <w:szCs w:val="4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40"/>
          <w:szCs w:val="4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40"/>
          <w:szCs w:val="4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40"/>
          <w:szCs w:val="4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right"/>
        <w:rPr>
          <w:rFonts w:cs="Calibri"/>
          <w:color w:val="000000"/>
          <w:sz w:val="40"/>
          <w:szCs w:val="40"/>
        </w:rPr>
      </w:pPr>
    </w:p>
    <w:p w:rsidR="001C1CE2" w:rsidRPr="0046137A" w:rsidRDefault="001C1CE2" w:rsidP="00A2651C">
      <w:pPr>
        <w:autoSpaceDE w:val="0"/>
        <w:autoSpaceDN w:val="0"/>
        <w:adjustRightInd w:val="0"/>
        <w:spacing w:after="0" w:line="240" w:lineRule="auto"/>
        <w:jc w:val="right"/>
        <w:rPr>
          <w:rFonts w:cs="Calibri"/>
          <w:b/>
          <w:color w:val="000000"/>
          <w:sz w:val="44"/>
          <w:szCs w:val="40"/>
        </w:rPr>
      </w:pPr>
      <w:r w:rsidRPr="0046137A">
        <w:rPr>
          <w:rFonts w:cs="Calibri"/>
          <w:b/>
          <w:color w:val="000000"/>
          <w:sz w:val="44"/>
          <w:szCs w:val="40"/>
        </w:rPr>
        <w:t>SPECYFIKACJ</w:t>
      </w:r>
      <w:r>
        <w:rPr>
          <w:rFonts w:cs="Calibri"/>
          <w:b/>
          <w:color w:val="000000"/>
          <w:sz w:val="44"/>
          <w:szCs w:val="40"/>
        </w:rPr>
        <w:t xml:space="preserve">A </w:t>
      </w:r>
      <w:r w:rsidRPr="0046137A">
        <w:rPr>
          <w:rFonts w:cs="Calibri"/>
          <w:b/>
          <w:color w:val="000000"/>
          <w:sz w:val="44"/>
          <w:szCs w:val="40"/>
        </w:rPr>
        <w:t>TECHNICZN</w:t>
      </w:r>
      <w:r>
        <w:rPr>
          <w:rFonts w:cs="Calibri"/>
          <w:b/>
          <w:color w:val="000000"/>
          <w:sz w:val="44"/>
          <w:szCs w:val="40"/>
        </w:rPr>
        <w:t>A</w:t>
      </w:r>
    </w:p>
    <w:p w:rsidR="001C1CE2" w:rsidRPr="0046137A" w:rsidRDefault="001C1CE2" w:rsidP="00A2651C">
      <w:pPr>
        <w:autoSpaceDE w:val="0"/>
        <w:autoSpaceDN w:val="0"/>
        <w:adjustRightInd w:val="0"/>
        <w:spacing w:after="0" w:line="240" w:lineRule="auto"/>
        <w:jc w:val="right"/>
        <w:rPr>
          <w:rFonts w:cs="Calibri"/>
          <w:b/>
          <w:color w:val="000000"/>
          <w:sz w:val="44"/>
          <w:szCs w:val="40"/>
        </w:rPr>
      </w:pPr>
      <w:r w:rsidRPr="0046137A">
        <w:rPr>
          <w:rFonts w:cs="Calibri"/>
          <w:b/>
          <w:color w:val="000000"/>
          <w:sz w:val="44"/>
          <w:szCs w:val="40"/>
        </w:rPr>
        <w:t>WYKONANIA I ODBIORU ROBÓT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jc w:val="right"/>
        <w:rPr>
          <w:rFonts w:cs="Calibri"/>
          <w:b/>
          <w:color w:val="000000"/>
          <w:sz w:val="40"/>
          <w:szCs w:val="4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jc w:val="right"/>
        <w:rPr>
          <w:rFonts w:cs="Calibri"/>
          <w:b/>
          <w:color w:val="000000"/>
          <w:sz w:val="40"/>
          <w:szCs w:val="4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jc w:val="right"/>
        <w:rPr>
          <w:rFonts w:cs="Calibri"/>
          <w:b/>
          <w:color w:val="000000"/>
          <w:sz w:val="40"/>
          <w:szCs w:val="4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jc w:val="right"/>
        <w:rPr>
          <w:rFonts w:cs="Calibri"/>
          <w:b/>
          <w:color w:val="000000"/>
          <w:sz w:val="40"/>
          <w:szCs w:val="4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jc w:val="right"/>
        <w:rPr>
          <w:rFonts w:cs="Calibri"/>
          <w:b/>
          <w:color w:val="000000"/>
          <w:sz w:val="28"/>
          <w:szCs w:val="28"/>
        </w:rPr>
      </w:pPr>
      <w:r>
        <w:rPr>
          <w:rFonts w:cs="Calibri"/>
          <w:b/>
          <w:color w:val="000000"/>
          <w:sz w:val="28"/>
          <w:szCs w:val="28"/>
        </w:rPr>
        <w:t>NAWIERZCHNIA Z BETONU ASFALTOWEGO.</w:t>
      </w: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right"/>
        <w:rPr>
          <w:rFonts w:cs="Calibri"/>
          <w:color w:val="000000"/>
          <w:sz w:val="28"/>
          <w:szCs w:val="28"/>
        </w:rPr>
      </w:pPr>
      <w:r>
        <w:rPr>
          <w:rFonts w:cs="Calibri"/>
          <w:b/>
          <w:color w:val="000000"/>
          <w:sz w:val="28"/>
          <w:szCs w:val="28"/>
        </w:rPr>
        <w:t>WARSTWA ŚCIERALNA</w:t>
      </w: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8"/>
          <w:szCs w:val="28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0"/>
          <w:szCs w:val="2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color w:val="000000"/>
          <w:sz w:val="20"/>
          <w:szCs w:val="2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color w:val="000000"/>
          <w:sz w:val="20"/>
          <w:szCs w:val="2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color w:val="000000"/>
          <w:sz w:val="20"/>
          <w:szCs w:val="2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color w:val="000000"/>
          <w:sz w:val="20"/>
          <w:szCs w:val="2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color w:val="000000"/>
          <w:sz w:val="20"/>
          <w:szCs w:val="2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color w:val="000000"/>
          <w:sz w:val="20"/>
          <w:szCs w:val="2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color w:val="000000"/>
          <w:sz w:val="20"/>
          <w:szCs w:val="20"/>
        </w:rPr>
      </w:pP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color w:val="000000"/>
          <w:sz w:val="20"/>
          <w:szCs w:val="20"/>
        </w:rPr>
      </w:pPr>
    </w:p>
    <w:p w:rsidR="001C1CE2" w:rsidRPr="00D10B2C" w:rsidRDefault="001C1CE2" w:rsidP="00B673E0">
      <w:pPr>
        <w:jc w:val="both"/>
        <w:rPr>
          <w:rFonts w:cs="Calibri"/>
          <w:b/>
          <w:color w:val="000000"/>
          <w:sz w:val="20"/>
          <w:szCs w:val="20"/>
        </w:rPr>
      </w:pPr>
      <w:r>
        <w:rPr>
          <w:rFonts w:cs="Calibri"/>
          <w:b/>
          <w:color w:val="000000"/>
          <w:sz w:val="20"/>
          <w:szCs w:val="20"/>
        </w:rPr>
        <w:br w:type="page"/>
      </w:r>
      <w:r w:rsidRPr="00D10B2C">
        <w:rPr>
          <w:rFonts w:cs="Calibri"/>
          <w:b/>
          <w:color w:val="000000"/>
          <w:sz w:val="20"/>
          <w:szCs w:val="20"/>
        </w:rPr>
        <w:t>1. WSTĘP</w:t>
      </w:r>
    </w:p>
    <w:p w:rsidR="001C1CE2" w:rsidRPr="00794DF7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0"/>
          <w:szCs w:val="20"/>
        </w:rPr>
      </w:pPr>
    </w:p>
    <w:p w:rsidR="001C1CE2" w:rsidRPr="00D54E7E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color w:val="000000"/>
          <w:sz w:val="20"/>
          <w:szCs w:val="20"/>
        </w:rPr>
      </w:pPr>
      <w:r w:rsidRPr="00D54E7E">
        <w:rPr>
          <w:rFonts w:cs="Calibri"/>
          <w:color w:val="000000"/>
          <w:sz w:val="20"/>
          <w:szCs w:val="20"/>
        </w:rPr>
        <w:t>1.1. Przedmiot STWiOR</w:t>
      </w:r>
    </w:p>
    <w:p w:rsidR="001C1CE2" w:rsidRPr="00E15A58" w:rsidRDefault="001C1CE2" w:rsidP="001A7C69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="Calibri"/>
          <w:sz w:val="20"/>
          <w:szCs w:val="20"/>
        </w:rPr>
      </w:pPr>
      <w:r w:rsidRPr="00D54E7E">
        <w:rPr>
          <w:rFonts w:cs="Calibri"/>
          <w:sz w:val="20"/>
          <w:szCs w:val="20"/>
        </w:rPr>
        <w:t xml:space="preserve">Przedmiotem niniejszej specyfikacji technicznej (STWIOR ) są wymagania ogólne dotyczące wykonania </w:t>
      </w:r>
      <w:r>
        <w:rPr>
          <w:rFonts w:cs="Calibri"/>
          <w:sz w:val="20"/>
          <w:szCs w:val="20"/>
        </w:rPr>
        <w:br/>
      </w:r>
      <w:r w:rsidRPr="00D54E7E">
        <w:rPr>
          <w:rFonts w:cs="Calibri"/>
          <w:sz w:val="20"/>
          <w:szCs w:val="20"/>
        </w:rPr>
        <w:t>i</w:t>
      </w:r>
      <w:r>
        <w:rPr>
          <w:rFonts w:cs="Calibri"/>
          <w:sz w:val="20"/>
          <w:szCs w:val="20"/>
        </w:rPr>
        <w:t xml:space="preserve"> </w:t>
      </w:r>
      <w:r w:rsidRPr="00D54E7E">
        <w:rPr>
          <w:rFonts w:cs="Calibri"/>
          <w:sz w:val="20"/>
          <w:szCs w:val="20"/>
        </w:rPr>
        <w:t xml:space="preserve">odbioru robót </w:t>
      </w:r>
      <w:r w:rsidRPr="007C3D45">
        <w:rPr>
          <w:rFonts w:cs="Calibri"/>
          <w:sz w:val="20"/>
          <w:szCs w:val="20"/>
        </w:rPr>
        <w:t>związanych z wykonaniem warstwy ścieralnej przy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wykonaniu</w:t>
      </w:r>
      <w:r>
        <w:rPr>
          <w:rFonts w:cs="Calibri"/>
          <w:sz w:val="20"/>
          <w:szCs w:val="20"/>
        </w:rPr>
        <w:t xml:space="preserve"> </w:t>
      </w:r>
      <w:r w:rsidRPr="00E15A58">
        <w:rPr>
          <w:rFonts w:cs="Calibri"/>
          <w:sz w:val="20"/>
          <w:szCs w:val="20"/>
        </w:rPr>
        <w:t xml:space="preserve">przy </w:t>
      </w:r>
      <w:r w:rsidRPr="00F621BD">
        <w:rPr>
          <w:rFonts w:cs="Calibri"/>
          <w:sz w:val="20"/>
          <w:szCs w:val="20"/>
        </w:rPr>
        <w:t>zadaniu pn.: „</w:t>
      </w:r>
      <w:r>
        <w:rPr>
          <w:rFonts w:cs="Calibri"/>
          <w:sz w:val="20"/>
          <w:szCs w:val="20"/>
        </w:rPr>
        <w:t>Przebudowa ul. Warzywnej w Dabrowie Tarnowskiej”</w:t>
      </w:r>
      <w:r w:rsidRPr="00F621BD">
        <w:rPr>
          <w:rFonts w:cs="Calibri"/>
          <w:sz w:val="20"/>
          <w:szCs w:val="20"/>
        </w:rPr>
        <w:t>.</w:t>
      </w:r>
    </w:p>
    <w:p w:rsidR="001C1CE2" w:rsidRPr="00D54E7E" w:rsidRDefault="001C1CE2" w:rsidP="001A7C69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D54E7E">
        <w:rPr>
          <w:rFonts w:cs="Calibri"/>
          <w:sz w:val="20"/>
          <w:szCs w:val="20"/>
        </w:rPr>
        <w:t>1.2. Zakres stosowania STWIOR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STWIORB jest stosowana jako dokument przetargowy i kontraktowy przy zlecaniu i realizacji robót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wymienionych w p 1.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bookmarkStart w:id="0" w:name="_GoBack"/>
      <w:bookmarkEnd w:id="0"/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1.3. Zakres robót objętych STWIORB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Ustalenia zawarte w niniejszej specyfikacji dotyczą zasad prowadzenia robót związanych z wykonaniem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odbiorem warstwy ścieralnej z betonu asfaltowego wg PN-EN 13108-1 [47</w:t>
      </w:r>
      <w:r>
        <w:rPr>
          <w:rFonts w:cs="Calibri"/>
          <w:sz w:val="20"/>
          <w:szCs w:val="20"/>
        </w:rPr>
        <w:t xml:space="preserve">] i WT-2 Nawierzchnie asfaltowe </w:t>
      </w:r>
      <w:r w:rsidRPr="007C3D45">
        <w:rPr>
          <w:rFonts w:cs="Calibri"/>
          <w:sz w:val="20"/>
          <w:szCs w:val="20"/>
        </w:rPr>
        <w:t>2010 [65] z mieszanki mineralno-asfaltowej dostarczonej od producenta. W przypadku produkcji mieszanki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mineralno-asfaltowej przez Wykonawcę dla potrzeb budowy, Wykonawca zobowiązany jest prowadzić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Zakładową kontrolę produkcji (ZKP</w:t>
      </w:r>
      <w:r>
        <w:rPr>
          <w:rFonts w:cs="Calibri"/>
          <w:sz w:val="20"/>
          <w:szCs w:val="20"/>
        </w:rPr>
        <w:t xml:space="preserve">) </w:t>
      </w:r>
      <w:r w:rsidRPr="007C3D45">
        <w:rPr>
          <w:rFonts w:cs="Calibri"/>
          <w:sz w:val="20"/>
          <w:szCs w:val="20"/>
        </w:rPr>
        <w:t>Przewiduje się wykonanie warstwy ścieralnej z mieszanki AC 11S oraz AC8S o wg PT</w:t>
      </w:r>
      <w:r>
        <w:rPr>
          <w:rFonts w:cs="Calibri"/>
          <w:sz w:val="20"/>
          <w:szCs w:val="20"/>
        </w:rPr>
        <w:t>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 Określenia podstawowe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1.4.1. </w:t>
      </w:r>
      <w:r w:rsidRPr="007C3D45">
        <w:rPr>
          <w:rFonts w:cs="Calibri"/>
          <w:sz w:val="20"/>
          <w:szCs w:val="20"/>
        </w:rPr>
        <w:t>Nawierzchnia – konstrukcja składająca się z jednej lub kilku warstw służących do przejmowania 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rozkładania obciążeń od ruchu pojazdów na podłoże.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1.4.2. Warstwa ścieralna – górna warstwa nawierzchni będąca w bezpośrednim kontakcie z kołami pojazdów.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1.4.3. Mieszanka mineralno-asfaltowa – mieszanka kruszyw i lepiszcza asfaltowego.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1.4.4. Wymiar mieszanki mineralno-asfaltowej – określenie mieszanki mineralno-asfaltowej, ze względu na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największy wymiar kruszywa D, np. wymiar 5, 8, 11.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1.4.5. Beton asfaltowy – mieszanka mineralno-asfaltowa, w której kruszywo o uziarnieniu ciągł</w:t>
      </w:r>
      <w:r>
        <w:rPr>
          <w:rFonts w:cs="Calibri"/>
          <w:sz w:val="20"/>
          <w:szCs w:val="20"/>
        </w:rPr>
        <w:t xml:space="preserve">ym lub </w:t>
      </w:r>
      <w:r w:rsidRPr="007C3D45">
        <w:rPr>
          <w:rFonts w:cs="Calibri"/>
          <w:sz w:val="20"/>
          <w:szCs w:val="20"/>
        </w:rPr>
        <w:t>nieciągłym tworzy strukturę wzajemnie klinującą się.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1.4.6. Uziarnienie – skład ziarnowy kruszywa, wyrażony w procentach masy ziaren przechodzą</w:t>
      </w:r>
      <w:r>
        <w:rPr>
          <w:rFonts w:cs="Calibri"/>
          <w:sz w:val="20"/>
          <w:szCs w:val="20"/>
        </w:rPr>
        <w:t xml:space="preserve">cych przez </w:t>
      </w:r>
      <w:r w:rsidRPr="007C3D45">
        <w:rPr>
          <w:rFonts w:cs="Calibri"/>
          <w:sz w:val="20"/>
          <w:szCs w:val="20"/>
        </w:rPr>
        <w:t>określony zestaw sit.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1.4.7. Kategoria ruchu – obciążenie drogi ruchem samochodowym, wyrażone w</w:t>
      </w:r>
      <w:r>
        <w:rPr>
          <w:rFonts w:cs="Calibri"/>
          <w:sz w:val="20"/>
          <w:szCs w:val="20"/>
        </w:rPr>
        <w:t xml:space="preserve"> osiach obliczeniowych (100 kN) </w:t>
      </w:r>
      <w:r w:rsidRPr="007C3D45">
        <w:rPr>
          <w:rFonts w:cs="Calibri"/>
          <w:sz w:val="20"/>
          <w:szCs w:val="20"/>
        </w:rPr>
        <w:t>wg „Katalogu typowych konstrukcji nawierzchni podatnych i półsztywnych” GDDP-IBDiM [68].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1.4.8. Wymiar kruszywa – wielkość ziaren kruszywa, określona przez dolny (d) i górny (D) wymiar sita.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1.4.9. Kruszywo grube – kruszywo z ziaren o wymiarze: D ≤ </w:t>
      </w:r>
      <w:smartTag w:uri="urn:schemas-microsoft-com:office:smarttags" w:element="metricconverter">
        <w:smartTagPr>
          <w:attr w:name="ProductID" w:val="45 mm"/>
        </w:smartTagPr>
        <w:r w:rsidRPr="007C3D45">
          <w:rPr>
            <w:rFonts w:cs="Calibri"/>
            <w:sz w:val="20"/>
            <w:szCs w:val="20"/>
          </w:rPr>
          <w:t>45 mm</w:t>
        </w:r>
      </w:smartTag>
      <w:r w:rsidRPr="007C3D45">
        <w:rPr>
          <w:rFonts w:cs="Calibri"/>
          <w:sz w:val="20"/>
          <w:szCs w:val="20"/>
        </w:rPr>
        <w:t xml:space="preserve"> oraz d &gt; </w:t>
      </w:r>
      <w:smartTag w:uri="urn:schemas-microsoft-com:office:smarttags" w:element="metricconverter">
        <w:smartTagPr>
          <w:attr w:name="ProductID" w:val="2 mm"/>
        </w:smartTagPr>
        <w:r w:rsidRPr="007C3D45">
          <w:rPr>
            <w:rFonts w:cs="Calibri"/>
            <w:sz w:val="20"/>
            <w:szCs w:val="20"/>
          </w:rPr>
          <w:t>2 mm</w:t>
        </w:r>
      </w:smartTag>
      <w:r w:rsidRPr="007C3D45">
        <w:rPr>
          <w:rFonts w:cs="Calibri"/>
          <w:sz w:val="20"/>
          <w:szCs w:val="20"/>
        </w:rPr>
        <w:t>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1.4.10. Kruszywo drobne – kruszywo z ziaren o wymiarze: D ≤ </w:t>
      </w:r>
      <w:smartTag w:uri="urn:schemas-microsoft-com:office:smarttags" w:element="metricconverter">
        <w:smartTagPr>
          <w:attr w:name="ProductID" w:val="2 mm"/>
        </w:smartTagPr>
        <w:r w:rsidRPr="007C3D45">
          <w:rPr>
            <w:rFonts w:cs="Calibri"/>
            <w:sz w:val="20"/>
            <w:szCs w:val="20"/>
          </w:rPr>
          <w:t>2 mm</w:t>
        </w:r>
      </w:smartTag>
      <w:r w:rsidRPr="007C3D45">
        <w:rPr>
          <w:rFonts w:cs="Calibri"/>
          <w:sz w:val="20"/>
          <w:szCs w:val="20"/>
        </w:rPr>
        <w:t>, którego większa część poz</w:t>
      </w:r>
      <w:r>
        <w:rPr>
          <w:rFonts w:cs="Calibri"/>
          <w:sz w:val="20"/>
          <w:szCs w:val="20"/>
        </w:rPr>
        <w:t xml:space="preserve">ostaje na sicie </w:t>
      </w:r>
      <w:smartTag w:uri="urn:schemas-microsoft-com:office:smarttags" w:element="metricconverter">
        <w:smartTagPr>
          <w:attr w:name="ProductID" w:val="0,063 mm"/>
        </w:smartTagPr>
        <w:r w:rsidRPr="007C3D45">
          <w:rPr>
            <w:rFonts w:cs="Calibri"/>
            <w:sz w:val="20"/>
            <w:szCs w:val="20"/>
          </w:rPr>
          <w:t>0,063 mm</w:t>
        </w:r>
      </w:smartTag>
      <w:r w:rsidRPr="007C3D45">
        <w:rPr>
          <w:rFonts w:cs="Calibri"/>
          <w:sz w:val="20"/>
          <w:szCs w:val="20"/>
        </w:rPr>
        <w:t>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1.4.11. Pył – kruszywo z ziaren przechodzących przez sito </w:t>
      </w:r>
      <w:smartTag w:uri="urn:schemas-microsoft-com:office:smarttags" w:element="metricconverter">
        <w:smartTagPr>
          <w:attr w:name="ProductID" w:val="0,063 mm"/>
        </w:smartTagPr>
        <w:r w:rsidRPr="007C3D45">
          <w:rPr>
            <w:rFonts w:cs="Calibri"/>
            <w:sz w:val="20"/>
            <w:szCs w:val="20"/>
          </w:rPr>
          <w:t>0,063 mm</w:t>
        </w:r>
      </w:smartTag>
      <w:r w:rsidRPr="007C3D45">
        <w:rPr>
          <w:rFonts w:cs="Calibri"/>
          <w:sz w:val="20"/>
          <w:szCs w:val="20"/>
        </w:rPr>
        <w:t>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1.4.12. Wypełniacz – kruszywo, którego większa część przechodzi przez sito </w:t>
      </w:r>
      <w:smartTag w:uri="urn:schemas-microsoft-com:office:smarttags" w:element="metricconverter">
        <w:smartTagPr>
          <w:attr w:name="ProductID" w:val="0,063 mm"/>
        </w:smartTagPr>
        <w:r w:rsidRPr="007C3D45">
          <w:rPr>
            <w:rFonts w:cs="Calibri"/>
            <w:sz w:val="20"/>
            <w:szCs w:val="20"/>
          </w:rPr>
          <w:t>0,063 mm</w:t>
        </w:r>
      </w:smartTag>
      <w:r w:rsidRPr="007C3D45">
        <w:rPr>
          <w:rFonts w:cs="Calibri"/>
          <w:sz w:val="20"/>
          <w:szCs w:val="20"/>
        </w:rPr>
        <w:t>. (Wypeł</w:t>
      </w:r>
      <w:r>
        <w:rPr>
          <w:rFonts w:cs="Calibri"/>
          <w:sz w:val="20"/>
          <w:szCs w:val="20"/>
        </w:rPr>
        <w:t xml:space="preserve">niacz mieszany </w:t>
      </w:r>
      <w:r w:rsidRPr="007C3D45">
        <w:rPr>
          <w:rFonts w:cs="Calibri"/>
          <w:sz w:val="20"/>
          <w:szCs w:val="20"/>
        </w:rPr>
        <w:t>– kruszywo, które składa się z wypełniacza pochodzenia mineralnego i wodorotlenku wapnia. Wypełniacz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dodany – wypełniacz pochodzenia mineralnego, wyprodukowany oddzielnie).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1.4.13. Kationowa emulsja asfaltowa – emulsja, w której emulgator nadaje dodatnie ładunki czą</w:t>
      </w:r>
      <w:r>
        <w:rPr>
          <w:rFonts w:cs="Calibri"/>
          <w:sz w:val="20"/>
          <w:szCs w:val="20"/>
        </w:rPr>
        <w:t xml:space="preserve">stkom </w:t>
      </w:r>
      <w:r w:rsidRPr="007C3D45">
        <w:rPr>
          <w:rFonts w:cs="Calibri"/>
          <w:sz w:val="20"/>
          <w:szCs w:val="20"/>
        </w:rPr>
        <w:t>zdyspergowanego asfaltu.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1.4.14. Pozostałe określenia podstawowe są zgodne z obowiązującymi, od</w:t>
      </w:r>
      <w:r>
        <w:rPr>
          <w:rFonts w:cs="Calibri"/>
          <w:sz w:val="20"/>
          <w:szCs w:val="20"/>
        </w:rPr>
        <w:t xml:space="preserve">powiednimi polskimi normami </w:t>
      </w:r>
      <w:r>
        <w:rPr>
          <w:rFonts w:cs="Calibri"/>
          <w:sz w:val="20"/>
          <w:szCs w:val="20"/>
        </w:rPr>
        <w:br/>
        <w:t xml:space="preserve">i z </w:t>
      </w:r>
      <w:r w:rsidRPr="007C3D45">
        <w:rPr>
          <w:rFonts w:cs="Calibri"/>
          <w:sz w:val="20"/>
          <w:szCs w:val="20"/>
        </w:rPr>
        <w:t>definicjami podanymi w STWIORB D-M-00.00.00 „Wymagania ogólne” pkt 1.4.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851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1.4.15. Symbole i skróty dodatkowe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1418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ACS </w:t>
      </w:r>
      <w:r>
        <w:rPr>
          <w:rFonts w:cs="Calibri"/>
          <w:sz w:val="20"/>
          <w:szCs w:val="20"/>
        </w:rPr>
        <w:tab/>
      </w:r>
      <w:r w:rsidRPr="007C3D45">
        <w:rPr>
          <w:rFonts w:cs="Calibri"/>
          <w:sz w:val="20"/>
          <w:szCs w:val="20"/>
        </w:rPr>
        <w:t>– beton asfaltowy do warstwy ścieralnej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1418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D </w:t>
      </w:r>
      <w:r>
        <w:rPr>
          <w:rFonts w:cs="Calibri"/>
          <w:sz w:val="20"/>
          <w:szCs w:val="20"/>
        </w:rPr>
        <w:tab/>
      </w:r>
      <w:r w:rsidRPr="007C3D45">
        <w:rPr>
          <w:rFonts w:cs="Calibri"/>
          <w:sz w:val="20"/>
          <w:szCs w:val="20"/>
        </w:rPr>
        <w:t>– górny wymiar sita (przy określaniu wielkości ziaren kruszywa),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1418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d </w:t>
      </w:r>
      <w:r>
        <w:rPr>
          <w:rFonts w:cs="Calibri"/>
          <w:sz w:val="20"/>
          <w:szCs w:val="20"/>
        </w:rPr>
        <w:tab/>
      </w:r>
      <w:r w:rsidRPr="007C3D45">
        <w:rPr>
          <w:rFonts w:cs="Calibri"/>
          <w:sz w:val="20"/>
          <w:szCs w:val="20"/>
        </w:rPr>
        <w:t>– dolny wymiar sita (przy określaniu wielkości ziaren kruszywa),</w:t>
      </w:r>
    </w:p>
    <w:p w:rsidR="001C1CE2" w:rsidRDefault="001C1CE2" w:rsidP="00C07AA3">
      <w:pPr>
        <w:autoSpaceDE w:val="0"/>
        <w:autoSpaceDN w:val="0"/>
        <w:adjustRightInd w:val="0"/>
        <w:spacing w:after="0" w:line="240" w:lineRule="auto"/>
        <w:ind w:left="1418" w:hanging="51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C </w:t>
      </w:r>
      <w:r>
        <w:rPr>
          <w:rFonts w:cs="Calibri"/>
          <w:sz w:val="20"/>
          <w:szCs w:val="20"/>
        </w:rPr>
        <w:tab/>
      </w:r>
      <w:r w:rsidRPr="007C3D45">
        <w:rPr>
          <w:rFonts w:cs="Calibri"/>
          <w:sz w:val="20"/>
          <w:szCs w:val="20"/>
        </w:rPr>
        <w:t>– kationowa emulsja asfaltowa,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ind w:left="1418" w:hanging="516"/>
        <w:jc w:val="both"/>
        <w:rPr>
          <w:rFonts w:cs="Calibri"/>
          <w:sz w:val="20"/>
          <w:szCs w:val="20"/>
        </w:rPr>
      </w:pP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1.5. Ogólne wymagania dotyczące robót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Ogólne wymagania dotyczące robót podano w STWIORB D-M-00.00.00 „Wymagania ogólne” [1] pkt 1.5.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C07AA3" w:rsidRDefault="001C1CE2" w:rsidP="00C07AA3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sz w:val="20"/>
          <w:szCs w:val="20"/>
        </w:rPr>
      </w:pPr>
      <w:r w:rsidRPr="00C07AA3">
        <w:rPr>
          <w:rFonts w:cs="Calibri"/>
          <w:b/>
          <w:sz w:val="20"/>
          <w:szCs w:val="20"/>
        </w:rPr>
        <w:t>2. MATERIAŁY</w:t>
      </w:r>
    </w:p>
    <w:p w:rsidR="001C1CE2" w:rsidRPr="007C3D45" w:rsidRDefault="001C1CE2" w:rsidP="00C07AA3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2.1. Ogólne wymagania dotyczące materiałów</w:t>
      </w:r>
    </w:p>
    <w:p w:rsidR="001C1CE2" w:rsidRPr="007C3D45" w:rsidRDefault="001C1CE2" w:rsidP="0029494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Ogólne wymagania dotyczące materiałów, ich pozyskiwania i skł</w:t>
      </w:r>
      <w:r>
        <w:rPr>
          <w:rFonts w:cs="Calibri"/>
          <w:sz w:val="20"/>
          <w:szCs w:val="20"/>
        </w:rPr>
        <w:t>adowania, podano w STWIORB D-M-</w:t>
      </w:r>
      <w:r w:rsidRPr="007C3D45">
        <w:rPr>
          <w:rFonts w:cs="Calibri"/>
          <w:sz w:val="20"/>
          <w:szCs w:val="20"/>
        </w:rPr>
        <w:t>00.00.00 „Wymagania ogólne” [1] pkt 2.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B673E0">
      <w:pPr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br w:type="page"/>
      </w:r>
      <w:r w:rsidRPr="007C3D45">
        <w:rPr>
          <w:rFonts w:cs="Calibri"/>
          <w:sz w:val="20"/>
          <w:szCs w:val="20"/>
        </w:rPr>
        <w:t>2.2. Lepiszcza asfaltowe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Należy stosować asfalty drogowe wg PN-EN 12591 [27] wielorodzajowy 50/70 Asfalty drogowe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powinny spełniać wymagania podane w tablicy 3.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FC7ADB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i/>
          <w:sz w:val="18"/>
          <w:szCs w:val="20"/>
        </w:rPr>
      </w:pPr>
      <w:r w:rsidRPr="00FC7ADB">
        <w:rPr>
          <w:rFonts w:cs="Calibri"/>
          <w:i/>
          <w:sz w:val="18"/>
          <w:szCs w:val="20"/>
        </w:rPr>
        <w:t>Tablica 3. Wymagania wobec asfaltów drogowych wg PN-EN 12591 [27]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Default="001C1CE2" w:rsidP="00954D05">
      <w:pPr>
        <w:autoSpaceDE w:val="0"/>
        <w:autoSpaceDN w:val="0"/>
        <w:adjustRightInd w:val="0"/>
        <w:spacing w:after="0" w:line="240" w:lineRule="auto"/>
        <w:ind w:left="364"/>
        <w:jc w:val="center"/>
        <w:rPr>
          <w:rFonts w:cs="Calibri"/>
          <w:sz w:val="20"/>
          <w:szCs w:val="20"/>
        </w:rPr>
      </w:pPr>
      <w:r w:rsidRPr="009E2B85">
        <w:rPr>
          <w:rFonts w:cs="Calibri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1.25pt;height:273.75pt">
            <v:imagedata r:id="rId7" o:title=""/>
          </v:shape>
        </w:pic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Default="001C1CE2" w:rsidP="00FC7ADB">
      <w:pPr>
        <w:autoSpaceDE w:val="0"/>
        <w:autoSpaceDN w:val="0"/>
        <w:adjustRightInd w:val="0"/>
        <w:spacing w:after="0" w:line="240" w:lineRule="auto"/>
        <w:ind w:left="364" w:firstLine="34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Składowanie asfaltu drogowego powinno się odbywać w zbiornikach, wykluczających zanieczyszczenie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asfaltu i wyposażonych w system grzewczy pośredni (bez kontaktu asfaltu z przewodami grzewczymi). Zbiornik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roboczy otaczarki powinien być izolowany termicznie, posiadać automatyczny system grzewczy z tolerancją ±</w:t>
      </w:r>
      <w:r>
        <w:rPr>
          <w:rFonts w:cs="Calibri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5°C"/>
        </w:smartTagPr>
        <w:r w:rsidRPr="007C3D45">
          <w:rPr>
            <w:rFonts w:cs="Calibri"/>
            <w:sz w:val="20"/>
            <w:szCs w:val="20"/>
          </w:rPr>
          <w:t>5°C</w:t>
        </w:r>
      </w:smartTag>
      <w:r w:rsidRPr="007C3D45">
        <w:rPr>
          <w:rFonts w:cs="Calibri"/>
          <w:sz w:val="20"/>
          <w:szCs w:val="20"/>
        </w:rPr>
        <w:t xml:space="preserve"> oraz układ cyrkulacji asfaltu.</w:t>
      </w:r>
    </w:p>
    <w:p w:rsidR="001C1CE2" w:rsidRPr="007C3D45" w:rsidRDefault="001C1CE2" w:rsidP="00FC7ADB">
      <w:pPr>
        <w:autoSpaceDE w:val="0"/>
        <w:autoSpaceDN w:val="0"/>
        <w:adjustRightInd w:val="0"/>
        <w:spacing w:after="0" w:line="240" w:lineRule="auto"/>
        <w:ind w:left="364" w:firstLine="344"/>
        <w:jc w:val="both"/>
        <w:rPr>
          <w:rFonts w:cs="Calibri"/>
          <w:sz w:val="20"/>
          <w:szCs w:val="20"/>
        </w:rPr>
      </w:pPr>
    </w:p>
    <w:p w:rsidR="001C1CE2" w:rsidRPr="007C3D45" w:rsidRDefault="001C1CE2" w:rsidP="00FC7AD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2.3. Kruszywo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 warstwy ścieralnej z betonu asfaltowego należy stosować kruszywo według PN-EN 13043 [44] 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WT-1 Kruszywa 2010 [64], obejmujące kruszywo grube , kruszywo drobne i wypełniacz. Kruszywa powinny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spełniać wymagania podane w załączniku 2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Składowanie kruszywa powinno się odbywać w warunkach zabezpieczających je przed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zanieczyszczeniem i zmieszaniem z kruszywem o innym wymiarze lub pochodzeniu. Podłoże składowiska</w:t>
      </w:r>
      <w:r>
        <w:rPr>
          <w:rFonts w:cs="Calibri"/>
          <w:sz w:val="20"/>
          <w:szCs w:val="20"/>
        </w:rPr>
        <w:t xml:space="preserve"> musi </w:t>
      </w:r>
      <w:r w:rsidRPr="007C3D45">
        <w:rPr>
          <w:rFonts w:cs="Calibri"/>
          <w:sz w:val="20"/>
          <w:szCs w:val="20"/>
        </w:rPr>
        <w:t>być równe, utwardzone i odwodnione. Składowanie wypełniacza powinno się odbywać w silosach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wyposażonych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w urządzenia do aeracji.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FC7AD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2.4. Środek adhezyjny</w:t>
      </w:r>
    </w:p>
    <w:p w:rsidR="001C1CE2" w:rsidRPr="007C3D45" w:rsidRDefault="001C1CE2" w:rsidP="001C31F4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 celu poprawy powinowactwa fizykochemicznego lepiszcza asfaltowego i kruszywa, gwarantują</w:t>
      </w:r>
      <w:r>
        <w:rPr>
          <w:rFonts w:cs="Calibri"/>
          <w:sz w:val="20"/>
          <w:szCs w:val="20"/>
        </w:rPr>
        <w:t xml:space="preserve">cego </w:t>
      </w:r>
      <w:r w:rsidRPr="007C3D45">
        <w:rPr>
          <w:rFonts w:cs="Calibri"/>
          <w:sz w:val="20"/>
          <w:szCs w:val="20"/>
        </w:rPr>
        <w:t>odpowiednią przyczepność (adhezję) lepiszcza do kruszywa i odporność mi</w:t>
      </w:r>
      <w:r>
        <w:rPr>
          <w:rFonts w:cs="Calibri"/>
          <w:sz w:val="20"/>
          <w:szCs w:val="20"/>
        </w:rPr>
        <w:t xml:space="preserve">eszanki mineralno-asfaltowej na </w:t>
      </w:r>
      <w:r w:rsidRPr="007C3D45">
        <w:rPr>
          <w:rFonts w:cs="Calibri"/>
          <w:sz w:val="20"/>
          <w:szCs w:val="20"/>
        </w:rPr>
        <w:t>działanie wody, należy dobrać i zastosować środek adhezyjny, tak aby dla konkretnej pary kruszywo-lepiszcze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wartość przyczepności określona według PN-EN 12697-11, metoda C [34] wynosiła co najmniej 80%.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Środek adhezyjny powinien odpowiadać wymaganiom określonym przez producenta.</w:t>
      </w:r>
    </w:p>
    <w:p w:rsidR="001C1CE2" w:rsidRPr="007C3D45" w:rsidRDefault="001C1CE2" w:rsidP="001C31F4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Składowanie środka adhezyjnego jest dozwolone tylko w orygina</w:t>
      </w:r>
      <w:r>
        <w:rPr>
          <w:rFonts w:cs="Calibri"/>
          <w:sz w:val="20"/>
          <w:szCs w:val="20"/>
        </w:rPr>
        <w:t xml:space="preserve">lnych opakowaniach, w warunkach </w:t>
      </w:r>
      <w:r w:rsidRPr="007C3D45">
        <w:rPr>
          <w:rFonts w:cs="Calibri"/>
          <w:sz w:val="20"/>
          <w:szCs w:val="20"/>
        </w:rPr>
        <w:t>określonych przez producenta.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FC7AD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2.5. Materiały do uszczelnienia połączeń i krawędzi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 uszczelnienia połączeń technologicznych (tj. złączy podłużnych i poprzecznych z tego samego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materiału wykonywanego w różnym czasie oraz spoin stanowiących połączenia różnych materiałów lub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połączenie warstwy asfaltowej z urządzeniami obcymi w nawierzchni lub ją ograniczającymi, należy stosować: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a) materiały termoplastyczne, jak taśmy asfaltowe, pasty itp. według norm lub aprobat technicznych,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b) emulsję asfaltową według PN-EN 13808 [58] lub inne lepiszcza według norm lub aprobat technicznych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Grubość materiału termoplastycznego do spoiny powinna wynosić: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– nie mniej niż </w:t>
      </w:r>
      <w:smartTag w:uri="urn:schemas-microsoft-com:office:smarttags" w:element="metricconverter">
        <w:smartTagPr>
          <w:attr w:name="ProductID" w:val="10 mm"/>
        </w:smartTagPr>
        <w:r w:rsidRPr="007C3D45">
          <w:rPr>
            <w:rFonts w:cs="Calibri"/>
            <w:sz w:val="20"/>
            <w:szCs w:val="20"/>
          </w:rPr>
          <w:t>10 mm</w:t>
        </w:r>
      </w:smartTag>
      <w:r w:rsidRPr="007C3D45">
        <w:rPr>
          <w:rFonts w:cs="Calibri"/>
          <w:sz w:val="20"/>
          <w:szCs w:val="20"/>
        </w:rPr>
        <w:t xml:space="preserve"> przy grubości warstwy technologicznej do </w:t>
      </w:r>
      <w:smartTag w:uri="urn:schemas-microsoft-com:office:smarttags" w:element="metricconverter">
        <w:smartTagPr>
          <w:attr w:name="ProductID" w:val="2,5 cm"/>
        </w:smartTagPr>
        <w:r w:rsidRPr="007C3D45">
          <w:rPr>
            <w:rFonts w:cs="Calibri"/>
            <w:sz w:val="20"/>
            <w:szCs w:val="20"/>
          </w:rPr>
          <w:t>2,5 cm</w:t>
        </w:r>
      </w:smartTag>
      <w:r w:rsidRPr="007C3D45">
        <w:rPr>
          <w:rFonts w:cs="Calibri"/>
          <w:sz w:val="20"/>
          <w:szCs w:val="20"/>
        </w:rPr>
        <w:t>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– nie mniej niż </w:t>
      </w:r>
      <w:smartTag w:uri="urn:schemas-microsoft-com:office:smarttags" w:element="metricconverter">
        <w:smartTagPr>
          <w:attr w:name="ProductID" w:val="15 mm"/>
        </w:smartTagPr>
        <w:r w:rsidRPr="007C3D45">
          <w:rPr>
            <w:rFonts w:cs="Calibri"/>
            <w:sz w:val="20"/>
            <w:szCs w:val="20"/>
          </w:rPr>
          <w:t>15 mm</w:t>
        </w:r>
      </w:smartTag>
      <w:r w:rsidRPr="007C3D45">
        <w:rPr>
          <w:rFonts w:cs="Calibri"/>
          <w:sz w:val="20"/>
          <w:szCs w:val="20"/>
        </w:rPr>
        <w:t xml:space="preserve"> przy grubości warstwy technologicznej większej niż </w:t>
      </w:r>
      <w:smartTag w:uri="urn:schemas-microsoft-com:office:smarttags" w:element="metricconverter">
        <w:smartTagPr>
          <w:attr w:name="ProductID" w:val="2,5 cm"/>
        </w:smartTagPr>
        <w:r w:rsidRPr="007C3D45">
          <w:rPr>
            <w:rFonts w:cs="Calibri"/>
            <w:sz w:val="20"/>
            <w:szCs w:val="20"/>
          </w:rPr>
          <w:t>2,5 cm</w:t>
        </w:r>
      </w:smartTag>
      <w:r w:rsidRPr="007C3D45">
        <w:rPr>
          <w:rFonts w:cs="Calibri"/>
          <w:sz w:val="20"/>
          <w:szCs w:val="20"/>
        </w:rPr>
        <w:t>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Składowanie materiałów termoplastycznych jest dozwolone tylko w oryginalnych opakowaniach</w:t>
      </w:r>
      <w:r>
        <w:rPr>
          <w:rFonts w:cs="Calibri"/>
          <w:sz w:val="20"/>
          <w:szCs w:val="20"/>
        </w:rPr>
        <w:t xml:space="preserve"> producenta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w warunkach określonych w aprobacie technicznej.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 uszczelnienia krawędzi należy stosować asfalt drogowy wg PN-EN 12591 [27], asfalt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modyfikowany polimerami wg PN-EN 14023 [59] „metoda na gorąco”. Dopuszcza się inne rodzaje lepiszcza wg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norm lub aprobat technicznych.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Inwestor zastrzega sobie aby układanie warstw bitumicznych na tej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inwestycji wykonać bez złączy podłużnych tj całą szer. Jezdni</w:t>
      </w:r>
      <w:r>
        <w:rPr>
          <w:rFonts w:cs="Calibri"/>
          <w:sz w:val="20"/>
          <w:szCs w:val="20"/>
        </w:rPr>
        <w:t>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724C8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2.6. Materiały do złączenia warstw konstrukcji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 złączania warstw konstrukcji nawierzchni (warstwa wiążąca z warstwą ścieralną) należy stosować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kationowe emulsje asfaltowe lub kationowe emulsje modyfikowane polimerami według PN-EN 13808 [58] 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załącznika 3</w:t>
      </w:r>
    </w:p>
    <w:p w:rsidR="001C1CE2" w:rsidRPr="007C3D45" w:rsidRDefault="001C1CE2" w:rsidP="00724C81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Emulsję asfaltową można składować w opakowaniach transportowych lub w stacjonarnych zbiornikach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pionowych z nalewaniem od dna. Nie należy nalewać emulsji do opakowań i zbiornikó</w:t>
      </w:r>
      <w:r>
        <w:rPr>
          <w:rFonts w:cs="Calibri"/>
          <w:sz w:val="20"/>
          <w:szCs w:val="20"/>
        </w:rPr>
        <w:t xml:space="preserve">w zanieczyszczonych </w:t>
      </w:r>
      <w:r w:rsidRPr="007C3D45">
        <w:rPr>
          <w:rFonts w:cs="Calibri"/>
          <w:sz w:val="20"/>
          <w:szCs w:val="20"/>
        </w:rPr>
        <w:t>materiałami mineralnymi.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724C8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3. SPRZĘT</w:t>
      </w:r>
    </w:p>
    <w:p w:rsidR="001C1CE2" w:rsidRPr="007C3D45" w:rsidRDefault="001C1CE2" w:rsidP="00724C8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3.1. Ogólne wymagania dotyczące sprzętu</w:t>
      </w:r>
    </w:p>
    <w:p w:rsidR="001C1CE2" w:rsidRPr="007C3D45" w:rsidRDefault="001C1CE2" w:rsidP="00724C81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Ogólne wymagania dotyczące sprzętu podano w STWIORB D-M-00.00.00 „Wymagania ogólne”</w:t>
      </w:r>
      <w:r>
        <w:rPr>
          <w:rFonts w:cs="Calibri"/>
          <w:sz w:val="20"/>
          <w:szCs w:val="20"/>
        </w:rPr>
        <w:t xml:space="preserve"> [1] </w:t>
      </w:r>
      <w:r w:rsidRPr="007C3D45">
        <w:rPr>
          <w:rFonts w:cs="Calibri"/>
          <w:sz w:val="20"/>
          <w:szCs w:val="20"/>
        </w:rPr>
        <w:t>pkt 3.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724C8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3.2. Sprzęt stosowany do wykonania robót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Przy wykonywaniu robót Wykonawca w zależności od potrzeb, powinien wykazać się możliwością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korzystania ze sprzętu dostosowanego do przyjętej metody robót, jak:</w:t>
      </w:r>
    </w:p>
    <w:p w:rsidR="001C1CE2" w:rsidRPr="00B0185A" w:rsidRDefault="001C1CE2" w:rsidP="00B0185A">
      <w:pPr>
        <w:pStyle w:val="ListParagraph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0185A">
        <w:rPr>
          <w:rFonts w:cs="Calibri"/>
          <w:sz w:val="20"/>
          <w:szCs w:val="20"/>
        </w:rPr>
        <w:t>wytwórnia (otaczarka) o mieszaniu cyklicznym lub ciągłym, z automatycznym komputerowym</w:t>
      </w:r>
      <w:r>
        <w:rPr>
          <w:rFonts w:cs="Calibri"/>
          <w:sz w:val="20"/>
          <w:szCs w:val="20"/>
        </w:rPr>
        <w:t xml:space="preserve"> </w:t>
      </w:r>
      <w:r w:rsidRPr="00B0185A">
        <w:rPr>
          <w:rFonts w:cs="Calibri"/>
          <w:sz w:val="20"/>
          <w:szCs w:val="20"/>
        </w:rPr>
        <w:t>sterowaniem produkcji, do wytwarzania mieszanek mineralno-asfaltowych,</w:t>
      </w:r>
    </w:p>
    <w:p w:rsidR="001C1CE2" w:rsidRPr="00B0185A" w:rsidRDefault="001C1CE2" w:rsidP="00B0185A">
      <w:pPr>
        <w:pStyle w:val="ListParagraph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0185A">
        <w:rPr>
          <w:rFonts w:cs="Calibri"/>
          <w:sz w:val="20"/>
          <w:szCs w:val="20"/>
        </w:rPr>
        <w:t>układarka gąsienicowa, z elektronicznym sterowaniem równości układanej warstwy,</w:t>
      </w:r>
    </w:p>
    <w:p w:rsidR="001C1CE2" w:rsidRPr="00B0185A" w:rsidRDefault="001C1CE2" w:rsidP="00B0185A">
      <w:pPr>
        <w:pStyle w:val="ListParagraph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0185A">
        <w:rPr>
          <w:rFonts w:cs="Calibri"/>
          <w:sz w:val="20"/>
          <w:szCs w:val="20"/>
        </w:rPr>
        <w:t>walce stalowe gładkie,</w:t>
      </w:r>
    </w:p>
    <w:p w:rsidR="001C1CE2" w:rsidRPr="00B0185A" w:rsidRDefault="001C1CE2" w:rsidP="00B0185A">
      <w:pPr>
        <w:pStyle w:val="ListParagraph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0185A">
        <w:rPr>
          <w:rFonts w:cs="Calibri"/>
          <w:sz w:val="20"/>
          <w:szCs w:val="20"/>
        </w:rPr>
        <w:t>walce ogumione</w:t>
      </w:r>
    </w:p>
    <w:p w:rsidR="001C1CE2" w:rsidRPr="00B0185A" w:rsidRDefault="001C1CE2" w:rsidP="00B0185A">
      <w:pPr>
        <w:pStyle w:val="ListParagraph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0185A">
        <w:rPr>
          <w:rFonts w:cs="Calibri"/>
          <w:sz w:val="20"/>
          <w:szCs w:val="20"/>
        </w:rPr>
        <w:t>szczotki mechaniczne i/lub inne urządzenia czyszczące,</w:t>
      </w:r>
    </w:p>
    <w:p w:rsidR="001C1CE2" w:rsidRPr="00B0185A" w:rsidRDefault="001C1CE2" w:rsidP="00B0185A">
      <w:pPr>
        <w:pStyle w:val="ListParagraph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0185A">
        <w:rPr>
          <w:rFonts w:cs="Calibri"/>
          <w:sz w:val="20"/>
          <w:szCs w:val="20"/>
        </w:rPr>
        <w:t>samochody samowyładowcze z przykryciem brezentowym lub termosami,</w:t>
      </w:r>
    </w:p>
    <w:p w:rsidR="001C1CE2" w:rsidRPr="00B0185A" w:rsidRDefault="001C1CE2" w:rsidP="00B0185A">
      <w:pPr>
        <w:pStyle w:val="ListParagraph"/>
        <w:numPr>
          <w:ilvl w:val="0"/>
          <w:numId w:val="44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0185A">
        <w:rPr>
          <w:rFonts w:cs="Calibri"/>
          <w:sz w:val="20"/>
          <w:szCs w:val="20"/>
        </w:rPr>
        <w:t>sprzęt drobny.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B0185A" w:rsidRDefault="001C1CE2" w:rsidP="00B0185A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sz w:val="20"/>
          <w:szCs w:val="20"/>
        </w:rPr>
      </w:pPr>
      <w:r w:rsidRPr="00B0185A">
        <w:rPr>
          <w:rFonts w:cs="Calibri"/>
          <w:b/>
          <w:sz w:val="20"/>
          <w:szCs w:val="20"/>
        </w:rPr>
        <w:t>4. TRANSPORT</w:t>
      </w:r>
    </w:p>
    <w:p w:rsidR="001C1CE2" w:rsidRPr="007C3D45" w:rsidRDefault="001C1CE2" w:rsidP="00B0185A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4.1. Ogólne wymagania dotyczące transportu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Ogólne wymagania dotyczące transportu podano w STWIORB D-M-00.00.00 „Wymagania ogólne” [1]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pkt 4.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B0185A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4.2. Transport materiałów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Asfalt należy przewozić w cysternach kolejowych lub samochodach izolowanych i zaopatrzonych 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urządzenia umożliwiające pośrednie ogrzewanie oraz w zawory spustowe.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Kruszywa można przewozić dowolnymi środkami transportu, w warunkach zabezpieczających je przed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zanieczyszczeniem, zmieszaniem z innymi materiałami i nadmiernym zawilgoceniem.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Wypełniacz należy przewozić w sposób chroniący go przed zawilgoceniem, zbryleniem 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zanieczyszczeniem. Wypełniacz luzem powinien być przewożony w odpowiednich cysternach przystosowanych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do przewozu materiałów sypkich, umożliwiających rozładunek pneumatyczny.</w:t>
      </w:r>
    </w:p>
    <w:p w:rsidR="001C1CE2" w:rsidRPr="007C3D45" w:rsidRDefault="001C1CE2" w:rsidP="00B0185A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Emulsja asfaltowa może być transportowana w zamkniętych cysternach, autocysternach, beczkach 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innych opakowaniach pod warunkiem, że nie będą korodowały pod wpływem emulsji i nie będą powodowały jej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rozpadu. Cysterny powinny być wyposażone w przegrody. Nie należy używać do transportu opakowań</w:t>
      </w:r>
      <w:r>
        <w:rPr>
          <w:rFonts w:cs="Calibri"/>
          <w:sz w:val="20"/>
          <w:szCs w:val="20"/>
        </w:rPr>
        <w:t xml:space="preserve"> z metali </w:t>
      </w:r>
      <w:r w:rsidRPr="007C3D45">
        <w:rPr>
          <w:rFonts w:cs="Calibri"/>
          <w:sz w:val="20"/>
          <w:szCs w:val="20"/>
        </w:rPr>
        <w:t>lekkich (może zachodzić wydzielanie wodoru i groźba wybuchu przy emulsjach o pH ≤ 4).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Mieszankę mineralno-asfaltową należy dowozić na budowę pojazdami samowył</w:t>
      </w:r>
      <w:r>
        <w:rPr>
          <w:rFonts w:cs="Calibri"/>
          <w:sz w:val="20"/>
          <w:szCs w:val="20"/>
        </w:rPr>
        <w:t xml:space="preserve">adowczymi w </w:t>
      </w:r>
      <w:r w:rsidRPr="007C3D45">
        <w:rPr>
          <w:rFonts w:cs="Calibri"/>
          <w:sz w:val="20"/>
          <w:szCs w:val="20"/>
        </w:rPr>
        <w:t>zależności od postępu robót. Podczas transportu i postoju przed wbudowaniem mieszanka powinna być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zabezpieczona przed ostygnięciem i dopływem powietrza (przez przykrycie, pojemniki termoizolacyjne lub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ogrzewane itp.). Warunki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i czas transportu mieszanki, od produkcji do wbudowania, powinna zapewniać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utrzymanie temperatury w wymaganym przedziale. Powierzchnie pojemników używanych do transportu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mieszanki powinny być czyste, a do zwilżania tych powierzchni można używać tylko środki antyadhezyjne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niewpływające szkodliwie na mieszankę.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403D3E" w:rsidRDefault="001C1CE2" w:rsidP="00B673E0">
      <w:pPr>
        <w:rPr>
          <w:rFonts w:cs="Calibri"/>
          <w:b/>
          <w:sz w:val="20"/>
          <w:szCs w:val="20"/>
        </w:rPr>
      </w:pPr>
      <w:r>
        <w:rPr>
          <w:rFonts w:cs="Calibri"/>
          <w:sz w:val="20"/>
          <w:szCs w:val="20"/>
        </w:rPr>
        <w:br w:type="page"/>
      </w:r>
      <w:r w:rsidRPr="00403D3E">
        <w:rPr>
          <w:rFonts w:cs="Calibri"/>
          <w:b/>
          <w:sz w:val="20"/>
          <w:szCs w:val="20"/>
        </w:rPr>
        <w:t>5. WYKONANIE ROBÓT</w:t>
      </w:r>
    </w:p>
    <w:p w:rsidR="001C1CE2" w:rsidRPr="007C3D45" w:rsidRDefault="001C1CE2" w:rsidP="00B0185A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5.1. Ogólne zasady wykonania robót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Ogólne zasady wykonania robót podano w STWIORB D-M-00.00.00 „Wymagania ogólne” [1] pkt 5.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403D3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5.2. Projektowanie mieszanki mineralno-asfaltowej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Przed przystąpieniem do robót Wykonawca dostarczy Inżynierowi do akceptacji projekt składu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mieszanki mineralno-asfaltowej AC 11 S</w:t>
      </w:r>
      <w:r>
        <w:rPr>
          <w:rFonts w:cs="Calibri"/>
          <w:sz w:val="20"/>
          <w:szCs w:val="20"/>
        </w:rPr>
        <w:t xml:space="preserve">. </w:t>
      </w:r>
      <w:r w:rsidRPr="007C3D45">
        <w:rPr>
          <w:rFonts w:cs="Calibri"/>
          <w:sz w:val="20"/>
          <w:szCs w:val="20"/>
        </w:rPr>
        <w:t xml:space="preserve">Uziarnienie mieszanki mineralnej oraz minimalna zawartość lepiszcza podane są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w tablicach 6 i 7.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Jeżeli stosowana jest mieszanka kruszywa drobnego niełamanego i łamanego, to należy przyjąć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proporcję kruszywa łamanego do niełamanego co najmniej 50/50.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Wymagane właściwości mieszanki mineralno-asfaltowej podane są w tablicach 8, 9 i 10.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403D3E" w:rsidRDefault="001C1CE2" w:rsidP="00403D3E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i/>
          <w:sz w:val="18"/>
          <w:szCs w:val="20"/>
        </w:rPr>
      </w:pPr>
      <w:r w:rsidRPr="00403D3E">
        <w:rPr>
          <w:rFonts w:cs="Calibri"/>
          <w:i/>
          <w:sz w:val="18"/>
          <w:szCs w:val="20"/>
        </w:rPr>
        <w:t>Tablica 6. Tablica 7. Uziarnienie mieszanki mineralnej oraz zawartość lep</w:t>
      </w:r>
      <w:r>
        <w:rPr>
          <w:rFonts w:cs="Calibri"/>
          <w:i/>
          <w:sz w:val="18"/>
          <w:szCs w:val="20"/>
        </w:rPr>
        <w:t xml:space="preserve">iszcza do betonu asfaltowego do </w:t>
      </w:r>
      <w:r w:rsidRPr="00403D3E">
        <w:rPr>
          <w:rFonts w:cs="Calibri"/>
          <w:i/>
          <w:sz w:val="18"/>
          <w:szCs w:val="20"/>
        </w:rPr>
        <w:t>warstwy ścieralnej dla ruchu KR3-KR6 [65]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tbl>
      <w:tblPr>
        <w:tblW w:w="0" w:type="auto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118"/>
        <w:gridCol w:w="2480"/>
        <w:gridCol w:w="2481"/>
      </w:tblGrid>
      <w:tr w:rsidR="001C1CE2" w:rsidRPr="00787F42" w:rsidTr="00787F42">
        <w:tc>
          <w:tcPr>
            <w:tcW w:w="3118" w:type="dxa"/>
            <w:vMerge w:val="restart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 w:rsidRPr="00787F42">
              <w:rPr>
                <w:rFonts w:cs="Calibri"/>
                <w:b/>
                <w:sz w:val="16"/>
                <w:szCs w:val="16"/>
              </w:rPr>
              <w:t>Właściwość</w:t>
            </w:r>
          </w:p>
        </w:tc>
        <w:tc>
          <w:tcPr>
            <w:tcW w:w="4961" w:type="dxa"/>
            <w:gridSpan w:val="2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cs="Calibri"/>
                <w:b/>
                <w:sz w:val="16"/>
                <w:szCs w:val="16"/>
              </w:rPr>
            </w:pPr>
            <w:r w:rsidRPr="00787F42">
              <w:rPr>
                <w:rFonts w:cs="Calibri"/>
                <w:b/>
                <w:sz w:val="16"/>
                <w:szCs w:val="16"/>
              </w:rPr>
              <w:t>Przesiew, [% (m/m)]</w:t>
            </w:r>
          </w:p>
        </w:tc>
      </w:tr>
      <w:tr w:rsidR="001C1CE2" w:rsidRPr="00787F42" w:rsidTr="00787F42">
        <w:tc>
          <w:tcPr>
            <w:tcW w:w="3118" w:type="dxa"/>
            <w:vMerge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</w:p>
        </w:tc>
        <w:tc>
          <w:tcPr>
            <w:tcW w:w="4961" w:type="dxa"/>
            <w:gridSpan w:val="2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cs="Calibri"/>
                <w:b/>
                <w:sz w:val="16"/>
                <w:szCs w:val="16"/>
              </w:rPr>
            </w:pPr>
            <w:r w:rsidRPr="00787F42">
              <w:rPr>
                <w:rFonts w:cs="Calibri"/>
                <w:b/>
                <w:sz w:val="16"/>
                <w:szCs w:val="16"/>
              </w:rPr>
              <w:t>AC8S</w:t>
            </w:r>
          </w:p>
        </w:tc>
      </w:tr>
      <w:tr w:rsidR="001C1CE2" w:rsidRPr="00787F42" w:rsidTr="00787F42">
        <w:tc>
          <w:tcPr>
            <w:tcW w:w="3118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 w:rsidRPr="00787F42">
              <w:rPr>
                <w:rFonts w:cs="Calibri"/>
                <w:b/>
                <w:sz w:val="16"/>
                <w:szCs w:val="16"/>
              </w:rPr>
              <w:t>Wymiar sita #, [mm]</w:t>
            </w:r>
          </w:p>
        </w:tc>
        <w:tc>
          <w:tcPr>
            <w:tcW w:w="2480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 w:rsidRPr="00787F42">
              <w:rPr>
                <w:rFonts w:cs="Calibri"/>
                <w:b/>
                <w:sz w:val="16"/>
                <w:szCs w:val="16"/>
              </w:rPr>
              <w:t>od</w:t>
            </w:r>
          </w:p>
        </w:tc>
        <w:tc>
          <w:tcPr>
            <w:tcW w:w="2481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 w:rsidRPr="00787F42">
              <w:rPr>
                <w:rFonts w:cs="Calibri"/>
                <w:b/>
                <w:sz w:val="16"/>
                <w:szCs w:val="16"/>
              </w:rPr>
              <w:t>do</w:t>
            </w:r>
          </w:p>
        </w:tc>
      </w:tr>
      <w:tr w:rsidR="001C1CE2" w:rsidRPr="00787F42" w:rsidTr="00787F42">
        <w:tc>
          <w:tcPr>
            <w:tcW w:w="3118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11,2</w:t>
            </w:r>
          </w:p>
        </w:tc>
        <w:tc>
          <w:tcPr>
            <w:tcW w:w="2480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100</w:t>
            </w:r>
          </w:p>
        </w:tc>
        <w:tc>
          <w:tcPr>
            <w:tcW w:w="2481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</w:p>
        </w:tc>
      </w:tr>
      <w:tr w:rsidR="001C1CE2" w:rsidRPr="00787F42" w:rsidTr="00787F42">
        <w:tc>
          <w:tcPr>
            <w:tcW w:w="3118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8</w:t>
            </w:r>
          </w:p>
        </w:tc>
        <w:tc>
          <w:tcPr>
            <w:tcW w:w="2480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90</w:t>
            </w:r>
          </w:p>
        </w:tc>
        <w:tc>
          <w:tcPr>
            <w:tcW w:w="2481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100</w:t>
            </w:r>
          </w:p>
        </w:tc>
      </w:tr>
      <w:tr w:rsidR="001C1CE2" w:rsidRPr="00787F42" w:rsidTr="00787F42">
        <w:tc>
          <w:tcPr>
            <w:tcW w:w="3118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5,6</w:t>
            </w:r>
          </w:p>
        </w:tc>
        <w:tc>
          <w:tcPr>
            <w:tcW w:w="2480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70</w:t>
            </w:r>
          </w:p>
        </w:tc>
        <w:tc>
          <w:tcPr>
            <w:tcW w:w="2481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90</w:t>
            </w:r>
          </w:p>
        </w:tc>
      </w:tr>
      <w:tr w:rsidR="001C1CE2" w:rsidRPr="00787F42" w:rsidTr="00787F42">
        <w:tc>
          <w:tcPr>
            <w:tcW w:w="3118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2,</w:t>
            </w:r>
          </w:p>
        </w:tc>
        <w:tc>
          <w:tcPr>
            <w:tcW w:w="2480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45</w:t>
            </w:r>
          </w:p>
        </w:tc>
        <w:tc>
          <w:tcPr>
            <w:tcW w:w="2481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65</w:t>
            </w:r>
          </w:p>
        </w:tc>
      </w:tr>
      <w:tr w:rsidR="001C1CE2" w:rsidRPr="00787F42" w:rsidTr="00787F42">
        <w:tc>
          <w:tcPr>
            <w:tcW w:w="3118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0,125</w:t>
            </w:r>
          </w:p>
        </w:tc>
        <w:tc>
          <w:tcPr>
            <w:tcW w:w="2480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8</w:t>
            </w:r>
          </w:p>
        </w:tc>
        <w:tc>
          <w:tcPr>
            <w:tcW w:w="2481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20</w:t>
            </w:r>
          </w:p>
        </w:tc>
      </w:tr>
      <w:tr w:rsidR="001C1CE2" w:rsidRPr="00787F42" w:rsidTr="00787F42">
        <w:tc>
          <w:tcPr>
            <w:tcW w:w="3118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0,063</w:t>
            </w:r>
          </w:p>
        </w:tc>
        <w:tc>
          <w:tcPr>
            <w:tcW w:w="2480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6</w:t>
            </w:r>
          </w:p>
        </w:tc>
        <w:tc>
          <w:tcPr>
            <w:tcW w:w="2481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12,0</w:t>
            </w:r>
          </w:p>
        </w:tc>
      </w:tr>
      <w:tr w:rsidR="001C1CE2" w:rsidRPr="00787F42" w:rsidTr="00787F42">
        <w:tc>
          <w:tcPr>
            <w:tcW w:w="3118" w:type="dxa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 xml:space="preserve">Zawartość lepiszcza, minimum </w:t>
            </w:r>
            <w:r w:rsidRPr="00787F42">
              <w:rPr>
                <w:rFonts w:cs="Calibri"/>
                <w:sz w:val="16"/>
                <w:szCs w:val="16"/>
                <w:vertAlign w:val="superscript"/>
              </w:rPr>
              <w:t>*)</w:t>
            </w:r>
          </w:p>
        </w:tc>
        <w:tc>
          <w:tcPr>
            <w:tcW w:w="4961" w:type="dxa"/>
            <w:gridSpan w:val="2"/>
            <w:vAlign w:val="center"/>
          </w:tcPr>
          <w:p w:rsidR="001C1CE2" w:rsidRPr="00787F42" w:rsidRDefault="001C1CE2" w:rsidP="00787F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87F42">
              <w:rPr>
                <w:rFonts w:cs="Calibri"/>
                <w:sz w:val="16"/>
                <w:szCs w:val="16"/>
              </w:rPr>
              <w:t>B</w:t>
            </w:r>
            <w:r w:rsidRPr="00787F42">
              <w:rPr>
                <w:rFonts w:cs="Calibri"/>
                <w:sz w:val="16"/>
                <w:szCs w:val="16"/>
                <w:vertAlign w:val="subscript"/>
              </w:rPr>
              <w:t>min 5,80</w:t>
            </w:r>
          </w:p>
        </w:tc>
      </w:tr>
    </w:tbl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49226D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i/>
          <w:sz w:val="18"/>
          <w:szCs w:val="20"/>
        </w:rPr>
      </w:pPr>
      <w:r w:rsidRPr="0049226D">
        <w:rPr>
          <w:rFonts w:cs="Calibri"/>
          <w:i/>
          <w:sz w:val="18"/>
          <w:szCs w:val="20"/>
        </w:rPr>
        <w:t>Tablica 8. Wymagane właściwości mieszanki mineralno-asfaltowej do warstwy ścieralnej, dla ruchu KR1÷ KR2 [65]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Default="001C1CE2" w:rsidP="00954D05">
      <w:pPr>
        <w:autoSpaceDE w:val="0"/>
        <w:autoSpaceDN w:val="0"/>
        <w:adjustRightInd w:val="0"/>
        <w:spacing w:after="0" w:line="240" w:lineRule="auto"/>
        <w:ind w:left="364"/>
        <w:jc w:val="center"/>
        <w:rPr>
          <w:rFonts w:cs="Calibri"/>
          <w:sz w:val="20"/>
          <w:szCs w:val="20"/>
        </w:rPr>
      </w:pPr>
      <w:r w:rsidRPr="009E2B85">
        <w:rPr>
          <w:rFonts w:cs="Calibri"/>
          <w:sz w:val="20"/>
          <w:szCs w:val="20"/>
        </w:rPr>
        <w:pict>
          <v:shape id="_x0000_i1026" type="#_x0000_t75" style="width:397.5pt;height:211.5pt">
            <v:imagedata r:id="rId8" o:title=""/>
          </v:shape>
        </w:pic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7C417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5.3. Wytwarzanie mieszanki mineralno-asfaltowej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Mieszankę mineralno-asfaltową należy wytwarzać na gorąco w otaczarce (zespole maszyn i urządzeń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dozowania, podgrzewania i mieszania składników oraz przechowywania gotowej mieszanki).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Dozowanie składników mieszanki mineralno-asfaltowej w otaczarkach, w tym także wstępne, powinno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być zautomatyzowane i zgodne z receptą roboczą, a urządzenia do dozowania składników oraz pomiaru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temperatury powinny być okresowo sprawdzane. Kruszywo o różnym uziarnieniu lub pochodzeniu należy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dodawać odmierzone oddzielnie.</w:t>
      </w:r>
      <w:r>
        <w:rPr>
          <w:rFonts w:cs="Calibri"/>
          <w:sz w:val="20"/>
          <w:szCs w:val="20"/>
        </w:rPr>
        <w:t xml:space="preserve">  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Lepiszcze asfaltowe należy przechowywać w zbiorniku z pośrednim systemem ogrzewania, z układem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termostatowania zapewniającym utrzymanie żądanej temperatury z dokładnością ± 5°C. Temperatura lepiszcza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asfaltowego w zbiorniku magazynowym (roboczym) nie może przekraczać 180°</w:t>
      </w:r>
      <w:r>
        <w:rPr>
          <w:rFonts w:cs="Calibri"/>
          <w:sz w:val="20"/>
          <w:szCs w:val="20"/>
        </w:rPr>
        <w:t>C dla asfaltu drogowego 50/70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70/100 i polimeroasfaltu drogowego 45/80-55 i 45/80-65.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Kruszywo (ewentualnie z wypełniaczem) powinno być wysuszone i podgrzane tak, aby mieszanka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mineralna uzyskała temperaturę właściwą do otoczenia lepiszczem asfaltowym. Temperatura mieszanki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mineralnej nie powinna być wyższa o więcej niż 30oC od najwyższej temperatury mieszanki mineralnoasfaltowej</w:t>
      </w:r>
      <w:r>
        <w:rPr>
          <w:rFonts w:cs="Calibri"/>
          <w:sz w:val="20"/>
          <w:szCs w:val="20"/>
        </w:rPr>
        <w:t xml:space="preserve"> podanej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w tablicy 11. W tej tablicy najniższa temperatura dotyczy</w:t>
      </w:r>
      <w:r>
        <w:rPr>
          <w:rFonts w:cs="Calibri"/>
          <w:sz w:val="20"/>
          <w:szCs w:val="20"/>
        </w:rPr>
        <w:t xml:space="preserve"> mieszanki mineralno-asfaltowej </w:t>
      </w:r>
      <w:r w:rsidRPr="007C3D45">
        <w:rPr>
          <w:rFonts w:cs="Calibri"/>
          <w:sz w:val="20"/>
          <w:szCs w:val="20"/>
        </w:rPr>
        <w:t>dostarczonej na miejsce wbudowania, a najwyższa temperatura dotyczy mieszanki mineralno-asfaltowej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bezpośrednio po wytworzeniu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w wytwórni.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025C18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i/>
          <w:sz w:val="18"/>
          <w:szCs w:val="20"/>
        </w:rPr>
      </w:pPr>
      <w:r w:rsidRPr="00025C18">
        <w:rPr>
          <w:rFonts w:cs="Calibri"/>
          <w:i/>
          <w:sz w:val="18"/>
          <w:szCs w:val="20"/>
        </w:rPr>
        <w:t>Tablica 11. Najwyższa i najniższa temperatura mieszanki AC 8S dla asfaltu 50/70 to 140-180[°C]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Sposób i czas mieszania składników mieszanki mineralno-asfaltowej powinny zapewnić równomierne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otoczenie kruszywa lepiszczem asfaltowym.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Dopuszcza się dostawy mieszanek mineralno-asfaltowych z kilku wytwórni, pod warunkiem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skoordynowania między sobą deklarowanych przydatności mieszanek (m.in.: typ, rodzaj składników,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właściwości objętościowe)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z zachowaniem braku różnic w ich właściwościach.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025C18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5.4. Przygotowanie podłoża</w:t>
      </w:r>
    </w:p>
    <w:p w:rsidR="001C1CE2" w:rsidRPr="007C3D45" w:rsidRDefault="001C1CE2" w:rsidP="00025C18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Podłoże (warstwa wyrównawcza, warstwa wiążąca lub stara warstwa ścieralna) pod warstwę ścieralną </w:t>
      </w:r>
      <w:r>
        <w:rPr>
          <w:rFonts w:cs="Calibri"/>
          <w:sz w:val="20"/>
          <w:szCs w:val="20"/>
        </w:rPr>
        <w:t xml:space="preserve">z </w:t>
      </w:r>
      <w:r w:rsidRPr="007C3D45">
        <w:rPr>
          <w:rFonts w:cs="Calibri"/>
          <w:sz w:val="20"/>
          <w:szCs w:val="20"/>
        </w:rPr>
        <w:t>betonu asfaltowego powinno być na całej powierzchni: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ustabilizowane i nośne,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czyste, bez zanieczyszczenia lub pozostałości luźnego kruszywa,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wyprofilowane, równe i bez kolein,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suche.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 wypadku podłoża z nowo wykonanej warstwy asfaltowej, Do oceny równości podłużnej warstwy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wiążącej nawierzchni dróg wszystkich klas technicznych należy stosować metodę równoważną użyciu łaty 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klina (planograf), lub z wykorzystaniem 4-metrowej łaty i klina mierząc maksymalną wysokość prześwitu pod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łatą. Pomiar wykonuje się nie rzadziej niż co 10 m.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Dopuszczalne nierówności warstwy wiążącej &lt; 6mm</w:t>
      </w:r>
      <w:r>
        <w:rPr>
          <w:rFonts w:cs="Calibri"/>
          <w:sz w:val="20"/>
          <w:szCs w:val="20"/>
        </w:rPr>
        <w:t xml:space="preserve"> 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D23ADB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5.5. Próba technologiczna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Wykonawca przed przystąpieniem do produkcji mieszanki jest zobowiązany do przeprowadzenia 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obecności Inżyniera próby technologicznej, która ma na celu sprawdzenie zgodności właściwości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wyprodukowanej mieszanki z receptą. W tym celu należy zaprogramować otaczarkę zgodnie z receptą roboczą 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 cyklu automatycznym produkować mieszankę. Do badań należy pobrać mieszankę wyprodukowaną po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ustabilizowaniu się pracy otaczarki.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Nie dopuszcza się oceniania dokładności pracy otaczarki oraz prawidłowości składu mieszanki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mineralnej na podstawie tzw. suchego zarobu, z uwagi na możliwą segregację kruszywa.</w:t>
      </w:r>
    </w:p>
    <w:p w:rsidR="001C1CE2" w:rsidRDefault="001C1CE2" w:rsidP="00D23ADB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Mieszankę wyprodukowaną po ustabilizowaniu się pracy otaczarki należy zgromadzić w silosie lub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załadować na samochód. Próbki do badań należy pobierać ze skrzyni samochodu zgodnie z metodą określoną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w</w:t>
      </w:r>
      <w:r>
        <w:rPr>
          <w:rFonts w:cs="Calibri"/>
          <w:sz w:val="20"/>
          <w:szCs w:val="20"/>
        </w:rPr>
        <w:t xml:space="preserve"> PN-EN 12697-27 [39]. </w:t>
      </w:r>
      <w:r w:rsidRPr="007C3D45">
        <w:rPr>
          <w:rFonts w:cs="Calibri"/>
          <w:sz w:val="20"/>
          <w:szCs w:val="20"/>
        </w:rPr>
        <w:t>Na podstawie uzyskanych wyników Inżynier podejmuje decyzję o wykonaniu odcinka próbnego.</w:t>
      </w:r>
    </w:p>
    <w:p w:rsidR="001C1CE2" w:rsidRPr="007C3D45" w:rsidRDefault="001C1CE2" w:rsidP="00D23ADB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E92AA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5.6. Odcinek próbny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Przed przystąpieniem do wykonania warstwy ścieralnej z betonu asfaltowego Wykonawca wykona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odcinek próbny celem uściślenia organizacji wytwarzania i układania oraz ustalenia warunków zagęszczania.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Odcinek próbny powinien być zlokalizowany w miejscu uzgodnionym z Inżynierem. Powierzchnia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odcinka próbnego powinna wynosić co najmniej 500 m2, a długość co najmniej 50 m. Na odcinku próbnym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Wykonawca powinien użyć takich materiałów oraz sprzętu jakie zamierza stosować do wykonania warstwy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ścieralnej.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Wykonawca może przystąpić do realizacji robót po zaakceptowaniu przez Inżyniera technologii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wbudowania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i zagęszczania oraz wyników z odcinka próbnego.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E92AA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5.7. Połączenie międzywarstwowe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Uzyskanie wymaganej trwałości nawierzchni jest uzależnione od zapewnienia połączenia między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warstwami i ich współpracy w przenoszeniu obciążenia nawierzchni ruchem.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Podłoże powinno być skropione lepiszczem. Ma to na celu zwiększenie połączenia między warstwami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konstrukcyjnymi oraz zabezpieczenie przed wnikaniem i zaleganiem wody między warstwami.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Skropienie lepiszczem podłoża (np. z warstwy wiążącej asfaltowej), przed ułożeniem warstwy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ścieralnej z betonu asfaltowego powinno być wykonane w ilości podanej w przeliczeniu na pozostałe lepiszcze,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tj. 0,1 ÷ 0,3 kg/m2, przy czym:</w:t>
      </w:r>
    </w:p>
    <w:p w:rsidR="001C1CE2" w:rsidRPr="00E92AAC" w:rsidRDefault="001C1CE2" w:rsidP="00E92AAC">
      <w:pPr>
        <w:pStyle w:val="ListParagraph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E92AAC">
        <w:rPr>
          <w:rFonts w:cs="Calibri"/>
          <w:sz w:val="20"/>
          <w:szCs w:val="20"/>
        </w:rPr>
        <w:t>zaleca się stosować emulsję modyfikowaną polimerem,</w:t>
      </w:r>
    </w:p>
    <w:p w:rsidR="001C1CE2" w:rsidRPr="00E92AAC" w:rsidRDefault="001C1CE2" w:rsidP="00E92AAC">
      <w:pPr>
        <w:pStyle w:val="ListParagraph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E92AAC">
        <w:rPr>
          <w:rFonts w:cs="Calibri"/>
          <w:sz w:val="20"/>
          <w:szCs w:val="20"/>
        </w:rPr>
        <w:t xml:space="preserve">ilość emulsji należy dobrać z uwzględnieniem stanu podłoża oraz porowatości mieszanki; jeśli mieszanka ma większą zawartość wolnych przestrzeni, to należy użyć większą ilość lepiszcza do skropienia, które po ułożeniu warstwy ścieralnej uszczelni ją. 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Skrapianie podłoża należy wykonywać równomiernie stosując rampy do skrapiania, np. skrapiarki do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lepiszczy asfaltowych. Dopuszcza się skrapianie ręczne lancą w miejscach trudno dostępnych (np. ścieki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uliczne) oraz przy urządzeniach usytuowanych w nawierzchni lub ją ograniczających. W razie potrzeby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urządzenia te należy zabezpieczyć przed zabrudzeniem. Skropione podłoże należy wyłączyć z ruchu publicznego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przez zmianę organizacji ruchu.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 wypadku stosowania emulsji asfaltowej podłoże powinno być skropione 0,5 h przed układaniem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warstwy asfaltowej w celu odparowania wody.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Czas ten nie dotyczy skrapiania rampą zamontowaną na rozkładarce.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E92AA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5.8. Wbudowanie mieszanki mineralno-asfaltowej</w:t>
      </w:r>
    </w:p>
    <w:p w:rsidR="001C1CE2" w:rsidRPr="007C3D45" w:rsidRDefault="001C1CE2" w:rsidP="00E92AA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Mieszankę mineralno-asfaltową można wbudowywać na podłożu przygotowanym zgodnie z zapisami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w</w:t>
      </w:r>
      <w:r>
        <w:rPr>
          <w:rFonts w:cs="Calibri"/>
          <w:sz w:val="20"/>
          <w:szCs w:val="20"/>
        </w:rPr>
        <w:t xml:space="preserve"> punktach 5.4 i 5.7. </w:t>
      </w:r>
      <w:r w:rsidRPr="007C3D45">
        <w:rPr>
          <w:rFonts w:cs="Calibri"/>
          <w:sz w:val="20"/>
          <w:szCs w:val="20"/>
        </w:rPr>
        <w:t>Temperatura podłoża pod rozkładaną warstwę nie może być niższa niż +5°C.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Transport mieszanki mineralno-asfaltowej asfaltowej powinien być zgodny z zaleceniami podanymi 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punkcie 4.2.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Mieszankę mineralno-asfaltową asfaltową należy wbudowywać w odpowiednich warunkach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atmosferycznych.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Temperatura otoczenia w ciągu doby nie powinna być niższa od temperatury podanej w tablicy 13.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Temperatura otoczenia może być niższa w wypadku stosowania ogrzewania podłoża. Nie dopuszcza się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układania mieszanki mineralno-asfaltowej asfaltowej podczas silnego wiatru (V &gt; 16 m/s)</w:t>
      </w:r>
      <w:r>
        <w:rPr>
          <w:rFonts w:cs="Calibri"/>
          <w:sz w:val="20"/>
          <w:szCs w:val="20"/>
        </w:rPr>
        <w:t xml:space="preserve">. </w:t>
      </w:r>
      <w:r w:rsidRPr="007C3D45">
        <w:rPr>
          <w:rFonts w:cs="Calibri"/>
          <w:sz w:val="20"/>
          <w:szCs w:val="20"/>
        </w:rPr>
        <w:t>W wypadku stosowania mieszanek mineralno-asfaltowych z dodatkiem obniżającym temperaturę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mieszania i wbudowania należy indywidualnie określić wymagane warunki otoczenia.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Tablica 13. Minimalna temperatura otoczenia na wysokości 2m podczas wykonywania warstw asfaltowych to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przed przystąpieniem do robót – 0; w czasie robót +5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Właściwości wykonanej warstwy powinny spełniać warunki podane w tablicy 14.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E92AAC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i/>
          <w:sz w:val="18"/>
          <w:szCs w:val="20"/>
        </w:rPr>
      </w:pPr>
      <w:r w:rsidRPr="00E92AAC">
        <w:rPr>
          <w:rFonts w:cs="Calibri"/>
          <w:i/>
          <w:sz w:val="18"/>
          <w:szCs w:val="20"/>
        </w:rPr>
        <w:t>Tablica 14. Właściwości warstwy AC 8S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Projektowana grubość warstwy technologicznej [cm] 4cm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Wskaźnik zagęszczenia ≥ 98[%]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Zawartość wolnych przestrzeni w warstwie 3,0÷5,0[%(v/v)]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Mieszanka mineralno-asfaltowa powinna być wbudowywana rozkładarką wyposażoną w układ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automatycznego sterowania grubości warstwy i utrzymywania niwelety zgodnie z dokumentacją projektową. 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miejscach niedostępnych dla sprzętu dopuszcza się wbudowywanie ręczne.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Grubość wykonywanej warstwy powinna być sprawdzana co 25 m, w co najmniej trzech miejscach (w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osi i przy brzegach warstwy).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Warstwy wałowane powinny być równomiernie zagęszczone ciężkimi walcami drogowymi. Do warstw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z betonu asfaltowego należy stosować walce drogowe stalowe gładkie z możliwością wibracji, oscylacji lub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walce ogumione.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E92AAC" w:rsidRDefault="001C1CE2" w:rsidP="00E92AA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sz w:val="20"/>
          <w:szCs w:val="20"/>
        </w:rPr>
      </w:pPr>
      <w:r w:rsidRPr="00E92AAC">
        <w:rPr>
          <w:rFonts w:cs="Calibri"/>
          <w:b/>
          <w:sz w:val="20"/>
          <w:szCs w:val="20"/>
        </w:rPr>
        <w:t>6. KONTROLA JAKOŚCI ROBÓT</w:t>
      </w:r>
    </w:p>
    <w:p w:rsidR="001C1CE2" w:rsidRPr="007C3D45" w:rsidRDefault="001C1CE2" w:rsidP="00E92AA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6.1. Ogólne zasady kontroli jakości robót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Ogólne zasady kontroli jakości robót podano w STWIORB D-M-00.00.00 „Wymagania ogólne” [1]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pkt 6.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0715B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6.2. Badania przed przystąpieniem do robót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Przed przystąpieniem do robót Wykonawca powinien:</w:t>
      </w:r>
    </w:p>
    <w:p w:rsidR="001C1CE2" w:rsidRPr="000715B9" w:rsidRDefault="001C1CE2" w:rsidP="000715B9">
      <w:pPr>
        <w:pStyle w:val="ListParagraph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0715B9">
        <w:rPr>
          <w:rFonts w:cs="Calibri"/>
          <w:sz w:val="20"/>
          <w:szCs w:val="20"/>
        </w:rPr>
        <w:t>uzyskać wymagane dokumenty, dopuszczające wyroby budowlane do obrotu i powszechnego stosowania</w:t>
      </w:r>
      <w:r>
        <w:rPr>
          <w:rFonts w:cs="Calibri"/>
          <w:sz w:val="20"/>
          <w:szCs w:val="20"/>
        </w:rPr>
        <w:t xml:space="preserve"> </w:t>
      </w:r>
      <w:r w:rsidRPr="000715B9">
        <w:rPr>
          <w:rFonts w:cs="Calibri"/>
          <w:sz w:val="20"/>
          <w:szCs w:val="20"/>
        </w:rPr>
        <w:t>(np. stwierdzenie o oznakowaniu materiału znakiem CE lub znakiem budowlanym B, certyfikat zgodności,</w:t>
      </w:r>
      <w:r>
        <w:rPr>
          <w:rFonts w:cs="Calibri"/>
          <w:sz w:val="20"/>
          <w:szCs w:val="20"/>
        </w:rPr>
        <w:t xml:space="preserve"> </w:t>
      </w:r>
      <w:r w:rsidRPr="000715B9">
        <w:rPr>
          <w:rFonts w:cs="Calibri"/>
          <w:sz w:val="20"/>
          <w:szCs w:val="20"/>
        </w:rPr>
        <w:t>deklarację zgodności, aprobatę techniczną, ew. badania materiałów wykonane przez dostawców itp.),</w:t>
      </w:r>
    </w:p>
    <w:p w:rsidR="001C1CE2" w:rsidRPr="000715B9" w:rsidRDefault="001C1CE2" w:rsidP="000715B9">
      <w:pPr>
        <w:pStyle w:val="ListParagraph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0715B9">
        <w:rPr>
          <w:rFonts w:cs="Calibri"/>
          <w:sz w:val="20"/>
          <w:szCs w:val="20"/>
        </w:rPr>
        <w:t>ew. wykonać własne badania właściwości materiałów przeznaczonych do wykonania robót, określone przez</w:t>
      </w:r>
      <w:r>
        <w:rPr>
          <w:rFonts w:cs="Calibri"/>
          <w:sz w:val="20"/>
          <w:szCs w:val="20"/>
        </w:rPr>
        <w:t xml:space="preserve"> </w:t>
      </w:r>
      <w:r w:rsidRPr="000715B9">
        <w:rPr>
          <w:rFonts w:cs="Calibri"/>
          <w:sz w:val="20"/>
          <w:szCs w:val="20"/>
        </w:rPr>
        <w:t>Inżyniera.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Wszystkie dokumenty oraz wyniki badań Wykonawca przedstawia Inżynierowi do akceptacji.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6A45F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6.3. Badania w czasie robót</w:t>
      </w:r>
    </w:p>
    <w:p w:rsidR="001C1CE2" w:rsidRPr="007C3D45" w:rsidRDefault="001C1CE2" w:rsidP="006A45F5">
      <w:pPr>
        <w:autoSpaceDE w:val="0"/>
        <w:autoSpaceDN w:val="0"/>
        <w:adjustRightInd w:val="0"/>
        <w:spacing w:after="0" w:line="240" w:lineRule="auto"/>
        <w:ind w:firstLine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6.3.1. Uwagi ogólne</w:t>
      </w:r>
    </w:p>
    <w:p w:rsidR="001C1CE2" w:rsidRPr="006A45F5" w:rsidRDefault="001C1CE2" w:rsidP="006A45F5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cs="Calibri"/>
          <w:sz w:val="20"/>
          <w:szCs w:val="20"/>
        </w:rPr>
      </w:pPr>
      <w:r w:rsidRPr="006A45F5">
        <w:rPr>
          <w:rFonts w:cs="Calibri"/>
          <w:sz w:val="20"/>
          <w:szCs w:val="20"/>
        </w:rPr>
        <w:t>Badania dzielą się na:</w:t>
      </w:r>
    </w:p>
    <w:p w:rsidR="001C1CE2" w:rsidRPr="006A45F5" w:rsidRDefault="001C1CE2" w:rsidP="006A45F5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1106" w:hanging="252"/>
        <w:jc w:val="both"/>
        <w:rPr>
          <w:rFonts w:cs="Calibri"/>
          <w:sz w:val="20"/>
          <w:szCs w:val="20"/>
        </w:rPr>
      </w:pPr>
      <w:r w:rsidRPr="006A45F5">
        <w:rPr>
          <w:rFonts w:cs="Calibri"/>
          <w:sz w:val="20"/>
          <w:szCs w:val="20"/>
        </w:rPr>
        <w:t>badania wykonawcy (w ramach własnego nadzoru),</w:t>
      </w:r>
    </w:p>
    <w:p w:rsidR="001C1CE2" w:rsidRPr="006A45F5" w:rsidRDefault="001C1CE2" w:rsidP="006A45F5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1106" w:hanging="252"/>
        <w:jc w:val="both"/>
        <w:rPr>
          <w:rFonts w:cs="Calibri"/>
          <w:sz w:val="20"/>
          <w:szCs w:val="20"/>
        </w:rPr>
      </w:pPr>
      <w:r w:rsidRPr="006A45F5">
        <w:rPr>
          <w:rFonts w:cs="Calibri"/>
          <w:sz w:val="20"/>
          <w:szCs w:val="20"/>
        </w:rPr>
        <w:t>badania kontrolne (w ramach nadzoru zleceniodawcy – Inżyniera).</w:t>
      </w:r>
    </w:p>
    <w:p w:rsidR="001C1CE2" w:rsidRPr="007C3D45" w:rsidRDefault="001C1CE2" w:rsidP="00C753C8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6.3.2. Badania Wykonawcy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Badania Wykonawcy są wykonywane przez Wykonawcę lub jego zleceniobiorców celem sprawdzenia,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czy jakość materiałów budowlanych (mieszanek mineralno-asfaltowych i ich składników, lepiszczy i materiałów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do uszczelnień itp.) oraz gotowej warstwy (wbudowane warstwy asfaltowe, połączenia itp.) spełniają wymagania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określone w kontrakcie.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 xml:space="preserve">Wykonawca powinien wykonywać te badania podczas realizacji kontraktu, z niezbędną starannością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i 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wymaganym zakresie. Wyniki należy zapisywać w protokołach. W razie stwierdzenia uchybień w stosunku do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wymagań kontraktu, ich przyczyny należy niezwłocznie usunąć.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Wyniki badań Wykonawcy należy przekazywać zleceniodawcy na jego żądanie. Inżynier moż</w:t>
      </w:r>
      <w:r>
        <w:rPr>
          <w:rFonts w:cs="Calibri"/>
          <w:sz w:val="20"/>
          <w:szCs w:val="20"/>
        </w:rPr>
        <w:t xml:space="preserve">e </w:t>
      </w:r>
      <w:r w:rsidRPr="007C3D45">
        <w:rPr>
          <w:rFonts w:cs="Calibri"/>
          <w:sz w:val="20"/>
          <w:szCs w:val="20"/>
        </w:rPr>
        <w:t xml:space="preserve">zdecydować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o dokonaniu odbioru na podstawie badań Wykonawcy. W razie zastrzeżeń Inżynier może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przeprowadzić badania kontrolne według pktu 6.3.3.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Zakres badań Wykonawcy związany z wykonywaniem nawierzchni: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pomiar temperatury powietrza,</w:t>
      </w:r>
    </w:p>
    <w:p w:rsidR="001C1CE2" w:rsidRPr="00D31011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16"/>
          <w:szCs w:val="20"/>
        </w:rPr>
      </w:pPr>
      <w:r w:rsidRPr="007C3D45">
        <w:rPr>
          <w:rFonts w:cs="Calibri"/>
          <w:sz w:val="20"/>
          <w:szCs w:val="20"/>
        </w:rPr>
        <w:t xml:space="preserve">– pomiar temperatury mieszanki mineralno-asfaltowej podczas wykonywania nawierzchni </w:t>
      </w:r>
      <w:r w:rsidRPr="00D31011">
        <w:rPr>
          <w:rFonts w:cs="Calibri"/>
          <w:sz w:val="16"/>
          <w:szCs w:val="20"/>
        </w:rPr>
        <w:t>(wg PN-EN 12697-13 [36]),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ocena wizualna mieszanki mineralno-asfaltowej,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wykaz ilości materiałów lub grubości wykonanej warstwy,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pomiar spadku poprzecznego warstwy asfaltowej,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pomiar równości warstwy asfaltowej (wg pktu 6.4.2.5),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pomiar parametrów geometrycznych poboczy,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ocena wizualna jednorodności powierzchni warstwy,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– ocena wizualna jakości wykonania połączeń technologicznych.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D3101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6.3.3. Badania kontrolne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Badania kontrolne są badaniami Inżyniera, których celem jest sprawdzenie, czy jakość materiałów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budowlanych (mieszanek mineralno-asfaltowych i ich składników, lepiszczy i materiałów do uszczelnień itp.)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oraz gotowej warstwy (wbudowane warstwy asfaltowe, połączenia itp.) spełniają wymagania określone 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kontrakcie. 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Wyniki tych badań są podstawą odbioru. Pobieraniem próbek i wykonaniem badań na miejscu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budowy zajmuje się Inżynier w obecności Wykonawcy. Badania odbywają się również wtedy, gdy Wykonawca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zostanie w porę powiadomiony o ich terminie, jednak nie będzie przy nich obecny.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Rodzaj badań kontrolnych mieszanki mineralno-asfaltowej i wykonanej z niej warstwy podano 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tablicy 15.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D31011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i/>
          <w:sz w:val="18"/>
          <w:szCs w:val="20"/>
        </w:rPr>
      </w:pPr>
      <w:r w:rsidRPr="00D31011">
        <w:rPr>
          <w:rFonts w:cs="Calibri"/>
          <w:i/>
          <w:sz w:val="16"/>
          <w:szCs w:val="20"/>
        </w:rPr>
        <w:t>T</w:t>
      </w:r>
      <w:r w:rsidRPr="00D31011">
        <w:rPr>
          <w:rFonts w:cs="Calibri"/>
          <w:i/>
          <w:sz w:val="18"/>
          <w:szCs w:val="20"/>
        </w:rPr>
        <w:t>ablica 15. Rodzaj badań kontrolnych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Default="001C1CE2" w:rsidP="00F67910">
      <w:pPr>
        <w:autoSpaceDE w:val="0"/>
        <w:autoSpaceDN w:val="0"/>
        <w:adjustRightInd w:val="0"/>
        <w:spacing w:after="0" w:line="240" w:lineRule="auto"/>
        <w:ind w:left="364"/>
        <w:jc w:val="center"/>
        <w:rPr>
          <w:rFonts w:cs="Calibri"/>
          <w:sz w:val="20"/>
          <w:szCs w:val="20"/>
        </w:rPr>
      </w:pPr>
      <w:r w:rsidRPr="009E2B85">
        <w:rPr>
          <w:rFonts w:cs="Calibri"/>
          <w:sz w:val="20"/>
          <w:szCs w:val="20"/>
        </w:rPr>
        <w:pict>
          <v:shape id="_x0000_i1027" type="#_x0000_t75" style="width:366pt;height:201.75pt">
            <v:imagedata r:id="rId9" o:title=""/>
          </v:shape>
        </w:pic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D3101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6.3.4. Badania kontrolne dodatkowe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 wypadku uznania, że jeden z wyników badań kontrolnych nie jest reprezentatywny dla ocenianego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odcinka budowy, Wykonawca ma prawo żądać przeprowadzenia badań kontrolnych dodatkowych.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Inżynier i Wykonawca decydują wspólnie o miejscach pobierania próbek i wyznaczeniu odcinków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częściowych ocenianego odcinka budowy. Jeżeli odcinek częściowy przyporządkowany do badań kontrolnych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nie może być jednoznacznie i zgodnie wyznaczony, to odcinek ten nie powinien być mniejszy niż 20%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ocenianego odcinka budowy.</w:t>
      </w:r>
      <w:r>
        <w:rPr>
          <w:rFonts w:cs="Calibri"/>
          <w:sz w:val="20"/>
          <w:szCs w:val="20"/>
        </w:rPr>
        <w:t xml:space="preserve"> 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 odbioru uwzględniane są wyniki badań kontrolnych i badań kontrolnych dodatkowych do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wyznaczonych odcinków częściowych.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Koszty badań kontrolnych dodatkowych zażądanych przez Wykonawcę ponosi Wykonawca.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F67910">
      <w:pPr>
        <w:autoSpaceDE w:val="0"/>
        <w:autoSpaceDN w:val="0"/>
        <w:adjustRightInd w:val="0"/>
        <w:spacing w:after="0" w:line="240" w:lineRule="auto"/>
        <w:ind w:left="364" w:hanging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6.4. Właściwości warstwy i nawierzchni oraz dopuszczalne odchyłki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6.4.1. Mieszanka mineralno-asfaltowa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Właściwości materiałów należy oceniać na podstawie badań pobranych próbek mieszanki mineralnoasfaltowej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przed wbudowaniem (wbudowanie oznacza wykonanie warstwy asfaltowej). Wyjątkowo dopuszcza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się badania próbek pobranych z wykonanej warstwy asfaltowej.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6.4.2. Warstwa asfaltowa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6.4.2.1. Grubość warstwy oraz ilość materiału</w:t>
      </w:r>
    </w:p>
    <w:p w:rsidR="001C1CE2" w:rsidRPr="007C3D45" w:rsidRDefault="001C1CE2" w:rsidP="00D67A76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Grubość wykonanej warstwy oznaczana według PN-EN 12697-36 [40] oraz ilość wbudowanego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materiału na określoną powierzchnię (dotyczy przede wszystkim cienkich warstw) mogą odbiegać od projektu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wartości podane w tablicy 16.</w:t>
      </w:r>
    </w:p>
    <w:p w:rsidR="001C1CE2" w:rsidRPr="007C3D45" w:rsidRDefault="001C1CE2" w:rsidP="00D67A76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 wypadku określania ilości materiału na powierzchnię i średniej wartości grubości warstwy z reguły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należy przyjąć za podstawę cały odcinek budowy. Inżynier ma prawo sprawdzać odcinki częściowe. Odcinek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częściowy powinien zawierać co najmniej jedną dzienną działkę roboczą. Do odcinka częściowego obowiązują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te same wymagania jak do odcinka budowy.</w:t>
      </w:r>
    </w:p>
    <w:p w:rsidR="001C1CE2" w:rsidRPr="007C3D45" w:rsidRDefault="001C1CE2" w:rsidP="00D67A76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Za grubość warstwy lub warstw przyjmuje się średnią arytmetyczną wszystkich pojedynczych oznaczeń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grubości warstwy na całym odcinku budowy lub odcinku częściowym.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F67910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i/>
          <w:sz w:val="18"/>
          <w:szCs w:val="20"/>
        </w:rPr>
      </w:pPr>
      <w:r w:rsidRPr="00F67910">
        <w:rPr>
          <w:rFonts w:cs="Calibri"/>
          <w:i/>
          <w:sz w:val="18"/>
          <w:szCs w:val="20"/>
        </w:rPr>
        <w:t>Tablica 16. Dopuszczalne odchyłki grubości warstwy oraz ilości materiału na określonej powierzchni, [%] Warunki oceny Warstwa asfaltowa ACa)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Default="001C1CE2" w:rsidP="00D67A76">
      <w:pPr>
        <w:autoSpaceDE w:val="0"/>
        <w:autoSpaceDN w:val="0"/>
        <w:adjustRightInd w:val="0"/>
        <w:spacing w:after="0" w:line="240" w:lineRule="auto"/>
        <w:ind w:left="364"/>
        <w:jc w:val="center"/>
        <w:rPr>
          <w:rFonts w:cs="Calibri"/>
          <w:sz w:val="20"/>
          <w:szCs w:val="20"/>
        </w:rPr>
      </w:pPr>
      <w:r w:rsidRPr="009E2B85">
        <w:rPr>
          <w:rFonts w:cs="Calibri"/>
          <w:sz w:val="20"/>
          <w:szCs w:val="20"/>
        </w:rPr>
        <w:pict>
          <v:shape id="_x0000_i1028" type="#_x0000_t75" style="width:456pt;height:127.5pt">
            <v:imagedata r:id="rId10" o:title=""/>
          </v:shape>
        </w:pic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6.4.2.2. Wskaźnik zagęszczenia warstwy</w:t>
      </w:r>
    </w:p>
    <w:p w:rsidR="001C1CE2" w:rsidRPr="007C3D45" w:rsidRDefault="001C1CE2" w:rsidP="00D67A76">
      <w:pPr>
        <w:autoSpaceDE w:val="0"/>
        <w:autoSpaceDN w:val="0"/>
        <w:adjustRightInd w:val="0"/>
        <w:spacing w:after="0" w:line="240" w:lineRule="auto"/>
        <w:ind w:left="1022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Zagęszczenie wykonanej warstwy, wyrażone wskaźnikiem zagęszczenia oraz zawartością wolnych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przestrzeni, nie może przekroczyć wartości dopuszczalnych podanych w tablicy 14. Dotyczy to każdego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pojedynczego oznaczenia danej właściwości.</w:t>
      </w:r>
    </w:p>
    <w:p w:rsidR="001C1CE2" w:rsidRPr="007C3D45" w:rsidRDefault="001C1CE2" w:rsidP="00D67A76">
      <w:pPr>
        <w:autoSpaceDE w:val="0"/>
        <w:autoSpaceDN w:val="0"/>
        <w:adjustRightInd w:val="0"/>
        <w:spacing w:after="0" w:line="240" w:lineRule="auto"/>
        <w:ind w:left="1022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Określenie gęstości objętościowej należy wykonywać według PN-EN 12697-6 [32].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6.4.2.3. Zawartość wolnych przestrzeni w nawierzchni</w:t>
      </w:r>
    </w:p>
    <w:p w:rsidR="001C1CE2" w:rsidRPr="007C3D45" w:rsidRDefault="001C1CE2" w:rsidP="00D67A76">
      <w:pPr>
        <w:autoSpaceDE w:val="0"/>
        <w:autoSpaceDN w:val="0"/>
        <w:adjustRightInd w:val="0"/>
        <w:spacing w:after="0" w:line="240" w:lineRule="auto"/>
        <w:ind w:left="1022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Zawartość wolnych przestrzeni w warstwie nawierzchni, nie może wykroczyć poza wartości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dopuszczalne kreślone w tablicy 14.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6.4.2.4. Spadki poprzeczne</w:t>
      </w:r>
    </w:p>
    <w:p w:rsidR="001C1CE2" w:rsidRPr="007C3D45" w:rsidRDefault="001C1CE2" w:rsidP="00D67A76">
      <w:pPr>
        <w:autoSpaceDE w:val="0"/>
        <w:autoSpaceDN w:val="0"/>
        <w:adjustRightInd w:val="0"/>
        <w:spacing w:after="0" w:line="240" w:lineRule="auto"/>
        <w:ind w:left="1022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Spadki poprzeczne nawierzchni należy badać nie rzadziej niż co 20 m oraz w punktach głównych łuków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poziomych.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Spadki poprzeczne powinny być zgodne z dokumentacją projektową, z tolerancją ± 0,5%.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6.4.2.5. Równość podłużna i poprzeczna</w:t>
      </w:r>
    </w:p>
    <w:p w:rsidR="001C1CE2" w:rsidRPr="007C3D45" w:rsidRDefault="001C1CE2" w:rsidP="00D67A76">
      <w:pPr>
        <w:autoSpaceDE w:val="0"/>
        <w:autoSpaceDN w:val="0"/>
        <w:adjustRightInd w:val="0"/>
        <w:spacing w:after="0" w:line="240" w:lineRule="auto"/>
        <w:ind w:left="103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Pomiary równości podłużnej należy wykonywać w środku każdego ocenianego pasa ruchu.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Do oceny równości podłużnej warstwy ścieralnej nawierzchni drogi klasy G i dróg wyższych klas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należy stosować metodę pomiaru umożliwiającą obliczanie wskaźnika równości IRI. Wartość IRI oblicza się dla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odcinków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o długości 50 m. Dopuszczalne wartości wskaźnika IRI wymagane przy odbiorze nawierzchni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określono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w rozporządzeniu dotyczącym warunków technicznych, jakim powinny odpowiadać drogi publiczne</w:t>
      </w:r>
    </w:p>
    <w:p w:rsidR="001C1CE2" w:rsidRPr="007C3D45" w:rsidRDefault="001C1CE2" w:rsidP="00D67A76">
      <w:pPr>
        <w:autoSpaceDE w:val="0"/>
        <w:autoSpaceDN w:val="0"/>
        <w:adjustRightInd w:val="0"/>
        <w:spacing w:after="0" w:line="240" w:lineRule="auto"/>
        <w:ind w:left="1036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[67].</w:t>
      </w:r>
    </w:p>
    <w:p w:rsidR="001C1CE2" w:rsidRPr="007C3D45" w:rsidRDefault="001C1CE2" w:rsidP="003A6B65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 oceny równości podłużnej warstwy ścieralnej nawierzchni drogi klasy Z, L i D oraz placów 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parkingów należy stosować metodę z wykorzystaniem łaty 4-metrowej i klina lub metody równoważnej, mierząc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wysokość prześwitu w połowie długości łaty. Pomiar wykonuje się nie rzadziej niż</w:t>
      </w:r>
      <w:r>
        <w:rPr>
          <w:rFonts w:cs="Calibri"/>
          <w:sz w:val="20"/>
          <w:szCs w:val="20"/>
        </w:rPr>
        <w:t xml:space="preserve"> co 10 m. Wymagana </w:t>
      </w:r>
      <w:r w:rsidRPr="007C3D45">
        <w:rPr>
          <w:rFonts w:cs="Calibri"/>
          <w:sz w:val="20"/>
          <w:szCs w:val="20"/>
        </w:rPr>
        <w:t>równość podłużna jest określona przez wartość odchylenia równości (prześwitu), które nie mogą przekroczyć 6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mm. Przez odchylenie równości rozumie się największą odległość między łatą a mierzoną powierzchnią.</w:t>
      </w:r>
    </w:p>
    <w:p w:rsidR="001C1CE2" w:rsidRPr="007C3D45" w:rsidRDefault="001C1CE2" w:rsidP="003A6B65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Wymagana równość podłużna &lt; 8mm</w:t>
      </w:r>
      <w:r>
        <w:rPr>
          <w:rFonts w:cs="Calibri"/>
          <w:sz w:val="20"/>
          <w:szCs w:val="20"/>
        </w:rPr>
        <w:t xml:space="preserve">. </w:t>
      </w:r>
    </w:p>
    <w:p w:rsidR="001C1CE2" w:rsidRPr="007C3D45" w:rsidRDefault="001C1CE2" w:rsidP="003A6B65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Przed upływem okresu gwarancyjnego wartość odchylenia równości podłużnej warstwy ścieralnej</w:t>
      </w:r>
    </w:p>
    <w:p w:rsidR="001C1CE2" w:rsidRPr="007C3D45" w:rsidRDefault="001C1CE2" w:rsidP="003A6B65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nawierzchni dróg klasy Z i L nie powinna być większa niż 8 mm. Badanie wykonuje się według procedury jak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podczas odbioru nawierzchni.</w:t>
      </w:r>
    </w:p>
    <w:p w:rsidR="001C1CE2" w:rsidRPr="007C3D45" w:rsidRDefault="001C1CE2" w:rsidP="003A6B65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Do oceny równości poprzecznej warstw nawierzchni dróg wszystkich klas technicznych należy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stosować metodę z wykorzystaniem łaty 4-metrowej i klina lub metody równoważnej użyciu łaty i klina. Pomiar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należy wykonywać w kierunku prostopadłym do osi jezdni, na każdym ocenianym pasie ruchu, nie rzadziej niż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co 10 m. Wymagana równość poprzeczna jest określona w rozporządzeniu dotyczącym warunków technicznych,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jakim powinny odpowiadać drogi publiczne [67].</w:t>
      </w:r>
    </w:p>
    <w:p w:rsidR="001C1CE2" w:rsidRDefault="001C1CE2" w:rsidP="003A6B65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Wymagana równość poprzeczna &lt; 8mm</w:t>
      </w:r>
    </w:p>
    <w:p w:rsidR="001C1CE2" w:rsidRPr="007C3D45" w:rsidRDefault="001C1CE2" w:rsidP="003A6B65">
      <w:pPr>
        <w:autoSpaceDE w:val="0"/>
        <w:autoSpaceDN w:val="0"/>
        <w:adjustRightInd w:val="0"/>
        <w:spacing w:after="0" w:line="240" w:lineRule="auto"/>
        <w:ind w:left="1050"/>
        <w:jc w:val="both"/>
        <w:rPr>
          <w:rFonts w:cs="Calibri"/>
          <w:sz w:val="20"/>
          <w:szCs w:val="20"/>
        </w:rPr>
      </w:pP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6.4.2.6. Pozostałe właściwości warstwy asfaltowej</w:t>
      </w:r>
    </w:p>
    <w:p w:rsidR="001C1CE2" w:rsidRDefault="001C1CE2" w:rsidP="003A6B65">
      <w:pPr>
        <w:autoSpaceDE w:val="0"/>
        <w:autoSpaceDN w:val="0"/>
        <w:adjustRightInd w:val="0"/>
        <w:spacing w:after="0" w:line="240" w:lineRule="auto"/>
        <w:ind w:left="1022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Szerokość warstwy, mierzona 10 razy na 1 km każdej jezdni, nie może się różnić od szerokości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projektowanej o więcej niż ± 5 cm.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Rzędne wysokościowe, mierzone co 10 m na prostych i co 10 m na osi podłużnej i krawę</w:t>
      </w:r>
      <w:r>
        <w:rPr>
          <w:rFonts w:cs="Calibri"/>
          <w:sz w:val="20"/>
          <w:szCs w:val="20"/>
        </w:rPr>
        <w:t xml:space="preserve">dziach, </w:t>
      </w:r>
      <w:r w:rsidRPr="007C3D45">
        <w:rPr>
          <w:rFonts w:cs="Calibri"/>
          <w:sz w:val="20"/>
          <w:szCs w:val="20"/>
        </w:rPr>
        <w:t>powinny być zgodne z dokumentacją projektową z dopuszczalną tolerancją ± 1 cm, przy czym co najmniej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95% wykonanych pomiarów nie może przekraczać przedziału dopuszczalnych odchyleń.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Ukształtowanie osi w planie, mierzone co 100 m, nie powinno różnić się od dokumentacji projektowej o ± 5 cm.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 xml:space="preserve">Złącza podłużne i poprzeczne, sprawdzone wizualnie, powinny być równe </w:t>
      </w:r>
      <w:r>
        <w:rPr>
          <w:rFonts w:cs="Calibri"/>
          <w:sz w:val="20"/>
          <w:szCs w:val="20"/>
        </w:rPr>
        <w:br/>
      </w:r>
      <w:r w:rsidRPr="007C3D45">
        <w:rPr>
          <w:rFonts w:cs="Calibri"/>
          <w:sz w:val="20"/>
          <w:szCs w:val="20"/>
        </w:rPr>
        <w:t>i związane, wykonane w linii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prostej, równolegle lub prostopadle do osi drogi. Przylegające warstwy powinny być w jednym poziomie.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Wygląd zewnętrzny warstwy, sprawdzony wizualnie, powinien być jednorodny, bez spękań,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deformacji, plam i wykruszeń.</w:t>
      </w:r>
    </w:p>
    <w:p w:rsidR="001C1CE2" w:rsidRDefault="001C1CE2" w:rsidP="003A6B65">
      <w:pPr>
        <w:autoSpaceDE w:val="0"/>
        <w:autoSpaceDN w:val="0"/>
        <w:adjustRightInd w:val="0"/>
        <w:spacing w:after="0" w:line="240" w:lineRule="auto"/>
        <w:ind w:left="1022"/>
        <w:jc w:val="both"/>
        <w:rPr>
          <w:rFonts w:cs="Calibri"/>
          <w:sz w:val="20"/>
          <w:szCs w:val="20"/>
        </w:rPr>
      </w:pPr>
    </w:p>
    <w:p w:rsidR="001C1CE2" w:rsidRPr="007C3D45" w:rsidRDefault="001C1CE2" w:rsidP="003A6B65">
      <w:pPr>
        <w:autoSpaceDE w:val="0"/>
        <w:autoSpaceDN w:val="0"/>
        <w:adjustRightInd w:val="0"/>
        <w:spacing w:after="0" w:line="240" w:lineRule="auto"/>
        <w:ind w:left="1022"/>
        <w:jc w:val="both"/>
        <w:rPr>
          <w:rFonts w:cs="Calibri"/>
          <w:sz w:val="20"/>
          <w:szCs w:val="20"/>
        </w:rPr>
      </w:pPr>
    </w:p>
    <w:p w:rsidR="001C1CE2" w:rsidRPr="003A6B65" w:rsidRDefault="001C1CE2" w:rsidP="003A6B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sz w:val="20"/>
          <w:szCs w:val="20"/>
        </w:rPr>
      </w:pPr>
      <w:r w:rsidRPr="003A6B65">
        <w:rPr>
          <w:rFonts w:cs="Calibri"/>
          <w:b/>
          <w:sz w:val="20"/>
          <w:szCs w:val="20"/>
        </w:rPr>
        <w:t>7. OBMIAR ROBÓT</w:t>
      </w:r>
    </w:p>
    <w:p w:rsidR="001C1CE2" w:rsidRPr="007C3D45" w:rsidRDefault="001C1CE2" w:rsidP="003A6B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7.1. Ogólne zasady obmiaru robót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Ogólne zasady obmiaru robót podano w STWIORB D-M-00.00.00 „Wymagania ogólne” [1] pkt 7.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78624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7.2. Jednostka obmiarowa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Jednostką obmiarową jest m2 (metr kwadratowy) wykonanej warstwy ścieralnej z betonu asfaltowego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8624E" w:rsidRDefault="001C1CE2" w:rsidP="0078624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sz w:val="20"/>
          <w:szCs w:val="20"/>
        </w:rPr>
      </w:pPr>
      <w:r w:rsidRPr="0078624E">
        <w:rPr>
          <w:rFonts w:cs="Calibri"/>
          <w:b/>
          <w:sz w:val="20"/>
          <w:szCs w:val="20"/>
        </w:rPr>
        <w:t>8. ODBIÓR ROBÓT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Ogólne zasady odbioru robót podano w STWIORB D-M-00.00.00 „Wymagania ogólne” [1] pkt 8.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Roboty uznaje się za wykonane zgodnie z dokumentacją projektową, ST i wymaganiami Inżyniera,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jeżeli wszystkie pomiary i badania z zachowaniem tolerancji według pktu 6 dały wyniki pozytywne.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8624E" w:rsidRDefault="001C1CE2" w:rsidP="0078624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sz w:val="20"/>
          <w:szCs w:val="20"/>
        </w:rPr>
      </w:pPr>
      <w:r w:rsidRPr="0078624E">
        <w:rPr>
          <w:rFonts w:cs="Calibri"/>
          <w:b/>
          <w:sz w:val="20"/>
          <w:szCs w:val="20"/>
        </w:rPr>
        <w:t>9. PODSTAWA PŁATNOŚCI</w:t>
      </w:r>
    </w:p>
    <w:p w:rsidR="001C1CE2" w:rsidRPr="007C3D45" w:rsidRDefault="001C1CE2" w:rsidP="0078624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9.1. Ogólne ustalenia dotyczące podstawy płatności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Ogólne ustalenia dotyczące podstawy płatności podano w STWIORB D-M-00.00.00 „Wymagania</w:t>
      </w:r>
      <w:r>
        <w:rPr>
          <w:rFonts w:cs="Calibri"/>
          <w:sz w:val="20"/>
          <w:szCs w:val="20"/>
        </w:rPr>
        <w:t xml:space="preserve"> </w:t>
      </w:r>
      <w:r w:rsidRPr="007C3D45">
        <w:rPr>
          <w:rFonts w:cs="Calibri"/>
          <w:sz w:val="20"/>
          <w:szCs w:val="20"/>
        </w:rPr>
        <w:t>ogólne” [1] pkt 9.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7C3D45" w:rsidRDefault="001C1CE2" w:rsidP="009033F0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9.2. Cena jednostki obmiarowej</w:t>
      </w:r>
    </w:p>
    <w:p w:rsidR="001C1CE2" w:rsidRPr="007C3D45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Cena wykonania 1 m2 warstwy ścieralnej z betonu asfaltowego (AC) obejmuje: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prace pomiarowe i roboty przygotowawcze,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oznakowanie robót,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oczyszczenie i skropienie podłoża,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dostarczenie materiałów i sprzętu,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opracowanie recepty laboratoryjnej,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wykonanie próby technologicznej i odcinka próbnego,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wyprodukowanie mieszanki betonu asfaltowego i jej transport na miejsce wbudowania,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posmarowanie lepiszczem lub pokrycie taśmą asfaltową krawędzi urządzeń obcych i krawężników,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rozłożenie i zagęszczenie mieszanki betonu asfaltowego,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obcięcie krawędzi i posmarowanie lepiszczem,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przeprowadzenie pomiarów i badań wymaganych w specyfikacji technicznej,</w:t>
      </w:r>
    </w:p>
    <w:p w:rsidR="001C1CE2" w:rsidRPr="00BF5607" w:rsidRDefault="001C1CE2" w:rsidP="00BF5607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odwiezienie sprzętu.</w:t>
      </w:r>
    </w:p>
    <w:p w:rsidR="001C1CE2" w:rsidRPr="00BF5607" w:rsidRDefault="001C1CE2" w:rsidP="00BF5607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BF5607" w:rsidRDefault="001C1CE2" w:rsidP="00BF5607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9.3. Sposób rozliczenia robót tymczasowych i prac towarzyszących</w:t>
      </w:r>
    </w:p>
    <w:p w:rsidR="001C1CE2" w:rsidRPr="001F4B56" w:rsidRDefault="001C1CE2" w:rsidP="001F4B56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  <w:r w:rsidRPr="001F4B56">
        <w:rPr>
          <w:rFonts w:cs="Calibri"/>
          <w:sz w:val="20"/>
          <w:szCs w:val="20"/>
        </w:rPr>
        <w:t>Cena wykonania robót określonych niniejszą STWIORB obejmuje:</w:t>
      </w:r>
    </w:p>
    <w:p w:rsidR="001C1CE2" w:rsidRPr="001F4B56" w:rsidRDefault="001C1CE2" w:rsidP="001F4B56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roboty tymczasowe, które są potrzebne do wykonania robót podstawowych, ale nie są przekazywane</w:t>
      </w:r>
      <w:r>
        <w:rPr>
          <w:rFonts w:cs="Calibri"/>
          <w:sz w:val="20"/>
          <w:szCs w:val="20"/>
        </w:rPr>
        <w:t xml:space="preserve"> </w:t>
      </w:r>
      <w:r w:rsidRPr="001F4B56">
        <w:rPr>
          <w:rFonts w:cs="Calibri"/>
          <w:sz w:val="20"/>
          <w:szCs w:val="20"/>
        </w:rPr>
        <w:t>Zamawiającemu i są usuwane po wykonaniu robót podstawowych,</w:t>
      </w:r>
    </w:p>
    <w:p w:rsidR="001C1CE2" w:rsidRPr="001F4B56" w:rsidRDefault="001C1CE2" w:rsidP="001F4B56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F5607">
        <w:rPr>
          <w:rFonts w:cs="Calibri"/>
          <w:sz w:val="20"/>
          <w:szCs w:val="20"/>
        </w:rPr>
        <w:t>prace towarzyszące, które są niezbędne do wykonania robót podstawowych, niezaliczane do robót</w:t>
      </w:r>
      <w:r>
        <w:rPr>
          <w:rFonts w:cs="Calibri"/>
          <w:sz w:val="20"/>
          <w:szCs w:val="20"/>
        </w:rPr>
        <w:t xml:space="preserve"> </w:t>
      </w:r>
      <w:r w:rsidRPr="001F4B56">
        <w:rPr>
          <w:rFonts w:cs="Calibri"/>
          <w:sz w:val="20"/>
          <w:szCs w:val="20"/>
        </w:rPr>
        <w:t>tymczasowych, jak geodezyjne wytyczenie robót itd.</w:t>
      </w: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Default="001C1CE2" w:rsidP="00A2651C">
      <w:pPr>
        <w:autoSpaceDE w:val="0"/>
        <w:autoSpaceDN w:val="0"/>
        <w:adjustRightInd w:val="0"/>
        <w:spacing w:after="0" w:line="240" w:lineRule="auto"/>
        <w:ind w:left="364"/>
        <w:jc w:val="both"/>
        <w:rPr>
          <w:rFonts w:cs="Calibri"/>
          <w:sz w:val="20"/>
          <w:szCs w:val="20"/>
        </w:rPr>
      </w:pPr>
    </w:p>
    <w:p w:rsidR="001C1CE2" w:rsidRPr="001F4B56" w:rsidRDefault="001C1CE2" w:rsidP="001F4B5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  <w:sz w:val="20"/>
          <w:szCs w:val="20"/>
        </w:rPr>
      </w:pPr>
      <w:r w:rsidRPr="001F4B56">
        <w:rPr>
          <w:rFonts w:cs="Calibri"/>
          <w:b/>
          <w:sz w:val="20"/>
          <w:szCs w:val="20"/>
        </w:rPr>
        <w:t>10. PRZEPISY ZWIĄZANE</w:t>
      </w:r>
    </w:p>
    <w:p w:rsidR="001C1CE2" w:rsidRPr="007C3D45" w:rsidRDefault="001C1CE2" w:rsidP="001F4B5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C3D45">
        <w:rPr>
          <w:rFonts w:cs="Calibri"/>
          <w:sz w:val="20"/>
          <w:szCs w:val="20"/>
        </w:rPr>
        <w:t>10.1. Ogólne specyfikacje techniczne (STWIORB)</w:t>
      </w:r>
    </w:p>
    <w:p w:rsidR="001C1CE2" w:rsidRDefault="001C1CE2" w:rsidP="00FB3239">
      <w:pPr>
        <w:pStyle w:val="ListParagraph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 xml:space="preserve">Załącznik 1 </w:t>
      </w:r>
      <w:r>
        <w:rPr>
          <w:rFonts w:cs="Calibri"/>
          <w:sz w:val="20"/>
          <w:szCs w:val="20"/>
        </w:rPr>
        <w:tab/>
      </w:r>
      <w:r w:rsidRPr="00F6190D">
        <w:rPr>
          <w:rFonts w:cs="Calibri"/>
          <w:sz w:val="20"/>
          <w:szCs w:val="20"/>
        </w:rPr>
        <w:t>Zakładowa kontrola produkcji</w:t>
      </w:r>
      <w:r>
        <w:rPr>
          <w:rFonts w:cs="Calibri"/>
          <w:sz w:val="20"/>
          <w:szCs w:val="20"/>
        </w:rPr>
        <w:t>;</w:t>
      </w:r>
    </w:p>
    <w:p w:rsidR="001C1CE2" w:rsidRDefault="001C1CE2" w:rsidP="00FB3239">
      <w:pPr>
        <w:pStyle w:val="ListParagraph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B3239">
        <w:rPr>
          <w:rFonts w:cs="Calibri"/>
          <w:sz w:val="20"/>
          <w:szCs w:val="20"/>
        </w:rPr>
        <w:t xml:space="preserve">Załącznik 2 </w:t>
      </w:r>
      <w:r w:rsidRPr="00FB3239">
        <w:rPr>
          <w:rFonts w:cs="Calibri"/>
          <w:sz w:val="20"/>
          <w:szCs w:val="20"/>
        </w:rPr>
        <w:tab/>
        <w:t>Wymagane własności kruszyw wg WT-1 i PN-EN 13043 w części dotyczącej SMA 11 KR5</w:t>
      </w:r>
      <w:r>
        <w:rPr>
          <w:rFonts w:cs="Calibri"/>
          <w:sz w:val="20"/>
          <w:szCs w:val="20"/>
        </w:rPr>
        <w:t>;</w:t>
      </w:r>
    </w:p>
    <w:p w:rsidR="001C1CE2" w:rsidRDefault="001C1CE2" w:rsidP="00FB3239">
      <w:pPr>
        <w:pStyle w:val="ListParagraph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B3239">
        <w:rPr>
          <w:rFonts w:cs="Calibri"/>
          <w:sz w:val="20"/>
          <w:szCs w:val="20"/>
        </w:rPr>
        <w:t xml:space="preserve">Załącznik 3 </w:t>
      </w:r>
      <w:r w:rsidRPr="00FB3239">
        <w:rPr>
          <w:rFonts w:cs="Calibri"/>
          <w:sz w:val="20"/>
          <w:szCs w:val="20"/>
        </w:rPr>
        <w:tab/>
        <w:t>Wymaga dotyczące kationowych emulsji asfaltowych;</w:t>
      </w:r>
    </w:p>
    <w:p w:rsidR="001C1CE2" w:rsidRDefault="001C1CE2" w:rsidP="00FB3239">
      <w:pPr>
        <w:pStyle w:val="ListParagraph"/>
        <w:numPr>
          <w:ilvl w:val="0"/>
          <w:numId w:val="50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B3239">
        <w:rPr>
          <w:rFonts w:cs="Calibri"/>
          <w:sz w:val="20"/>
          <w:szCs w:val="20"/>
        </w:rPr>
        <w:t xml:space="preserve">Załącznik 4 </w:t>
      </w:r>
      <w:r>
        <w:rPr>
          <w:rFonts w:cs="Calibri"/>
          <w:sz w:val="20"/>
          <w:szCs w:val="20"/>
        </w:rPr>
        <w:tab/>
      </w:r>
      <w:r w:rsidRPr="00FB3239">
        <w:rPr>
          <w:rFonts w:cs="Calibri"/>
          <w:sz w:val="20"/>
          <w:szCs w:val="20"/>
        </w:rPr>
        <w:t>Instrukcja badawcza – określanie odporności próbek na działanie wody i mrozu</w:t>
      </w:r>
      <w:r>
        <w:rPr>
          <w:rFonts w:cs="Calibri"/>
          <w:sz w:val="20"/>
          <w:szCs w:val="20"/>
        </w:rPr>
        <w:t>.</w:t>
      </w:r>
    </w:p>
    <w:p w:rsidR="001C1CE2" w:rsidRPr="00FB3239" w:rsidRDefault="001C1CE2" w:rsidP="00FB323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</w:p>
    <w:p w:rsidR="001C1CE2" w:rsidRPr="00FB3239" w:rsidRDefault="001C1CE2" w:rsidP="00FB323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B3239">
        <w:rPr>
          <w:rFonts w:cs="Calibri"/>
          <w:sz w:val="20"/>
          <w:szCs w:val="20"/>
        </w:rPr>
        <w:t>10.2. Normy</w:t>
      </w:r>
    </w:p>
    <w:p w:rsidR="001C1CE2" w:rsidRDefault="001C1CE2" w:rsidP="0035500C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="Calibri"/>
          <w:i/>
          <w:sz w:val="18"/>
          <w:szCs w:val="20"/>
        </w:rPr>
      </w:pPr>
      <w:r w:rsidRPr="0035500C">
        <w:rPr>
          <w:rFonts w:cs="Calibri"/>
          <w:i/>
          <w:sz w:val="18"/>
          <w:szCs w:val="20"/>
        </w:rPr>
        <w:t>(Zestawienie zawiera dodatkowo normy PN-EN związane z badaniami materiałów występujących w niniejszej</w:t>
      </w:r>
      <w:r>
        <w:rPr>
          <w:rFonts w:cs="Calibri"/>
          <w:i/>
          <w:sz w:val="18"/>
          <w:szCs w:val="20"/>
        </w:rPr>
        <w:t xml:space="preserve"> </w:t>
      </w:r>
      <w:r w:rsidRPr="0035500C">
        <w:rPr>
          <w:rFonts w:cs="Calibri"/>
          <w:i/>
          <w:sz w:val="18"/>
          <w:szCs w:val="20"/>
        </w:rPr>
        <w:t>OST)</w:t>
      </w:r>
    </w:p>
    <w:p w:rsidR="001C1CE2" w:rsidRPr="0035500C" w:rsidRDefault="001C1CE2" w:rsidP="0035500C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="Calibri"/>
          <w:i/>
          <w:sz w:val="18"/>
          <w:szCs w:val="20"/>
        </w:rPr>
      </w:pPr>
    </w:p>
    <w:p w:rsidR="001C1CE2" w:rsidRPr="0035500C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35500C">
        <w:rPr>
          <w:rFonts w:cs="Calibri"/>
          <w:sz w:val="20"/>
          <w:szCs w:val="20"/>
        </w:rPr>
        <w:t>PN-EN 932-3 Badania podstawowych właściwości kruszyw – Procedura i terminologia uproszczonego opisu petrograficznego</w:t>
      </w:r>
      <w:r>
        <w:rPr>
          <w:rFonts w:cs="Calibri"/>
          <w:sz w:val="20"/>
          <w:szCs w:val="20"/>
        </w:rPr>
        <w:t>;</w:t>
      </w:r>
    </w:p>
    <w:p w:rsidR="001C1CE2" w:rsidRDefault="001C1CE2" w:rsidP="0035500C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933-1 Badania geometrycznych właściwości kruszyw – Oznaczanie składu ziarnowego</w:t>
      </w:r>
      <w:r>
        <w:rPr>
          <w:rFonts w:cs="Calibri"/>
          <w:sz w:val="20"/>
          <w:szCs w:val="20"/>
        </w:rPr>
        <w:t xml:space="preserve"> </w:t>
      </w:r>
      <w:r w:rsidRPr="0035500C">
        <w:rPr>
          <w:rFonts w:cs="Calibri"/>
          <w:sz w:val="20"/>
          <w:szCs w:val="20"/>
        </w:rPr>
        <w:t>– Metoda przesiewania</w:t>
      </w:r>
      <w:r>
        <w:rPr>
          <w:rFonts w:cs="Calibri"/>
          <w:sz w:val="20"/>
          <w:szCs w:val="20"/>
        </w:rPr>
        <w:t>;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35500C">
        <w:rPr>
          <w:rFonts w:cs="Calibri"/>
          <w:sz w:val="20"/>
          <w:szCs w:val="20"/>
        </w:rPr>
        <w:t>PN-EN 933-3 Badania geometrycznych właściwości kruszyw – Oznaczanie kształtu ziaren za pomocą wskaźnika płaskości</w:t>
      </w:r>
      <w:r>
        <w:rPr>
          <w:rFonts w:cs="Calibri"/>
          <w:sz w:val="20"/>
          <w:szCs w:val="20"/>
        </w:rPr>
        <w:t>;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35500C">
        <w:rPr>
          <w:rFonts w:cs="Calibri"/>
          <w:sz w:val="20"/>
          <w:szCs w:val="20"/>
        </w:rPr>
        <w:t>PN-EN 933-4 Badania geometrycznych właściwości kruszyw – Część 4: Oznaczanie kształtu ziaren – Wskaźnik kształtu</w:t>
      </w:r>
      <w:r>
        <w:rPr>
          <w:rFonts w:cs="Calibri"/>
          <w:sz w:val="20"/>
          <w:szCs w:val="20"/>
        </w:rPr>
        <w:t>;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51C77">
        <w:rPr>
          <w:rFonts w:cs="Calibri"/>
          <w:sz w:val="20"/>
          <w:szCs w:val="20"/>
        </w:rPr>
        <w:t xml:space="preserve">PN-EN 933-5 Badania geometrycznych właściwości kruszyw – Oznaczanie procentowej zawartości ziaren </w:t>
      </w:r>
      <w:r>
        <w:rPr>
          <w:rFonts w:cs="Calibri"/>
          <w:sz w:val="20"/>
          <w:szCs w:val="20"/>
        </w:rPr>
        <w:br/>
      </w:r>
      <w:r w:rsidRPr="00751C77">
        <w:rPr>
          <w:rFonts w:cs="Calibri"/>
          <w:sz w:val="20"/>
          <w:szCs w:val="20"/>
        </w:rPr>
        <w:t xml:space="preserve">o powierzchniach powstałych w wyniku przekruszenia lub łamania kruszyw grubych; </w:t>
      </w:r>
    </w:p>
    <w:p w:rsidR="001C1CE2" w:rsidRDefault="001C1CE2" w:rsidP="00751C77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51C77">
        <w:rPr>
          <w:rFonts w:cs="Calibri"/>
          <w:sz w:val="20"/>
          <w:szCs w:val="20"/>
        </w:rPr>
        <w:t>PN-EN 933-6 Badania geometrycznych właściwości kruszyw – Część 6: Ocena właściwości</w:t>
      </w:r>
      <w:r>
        <w:rPr>
          <w:rFonts w:cs="Calibri"/>
          <w:sz w:val="20"/>
          <w:szCs w:val="20"/>
        </w:rPr>
        <w:t xml:space="preserve"> </w:t>
      </w:r>
      <w:r w:rsidRPr="00751C77">
        <w:rPr>
          <w:rFonts w:cs="Calibri"/>
          <w:sz w:val="20"/>
          <w:szCs w:val="20"/>
        </w:rPr>
        <w:t>powierzchni – Wskaźnik przepływu kruszywa</w:t>
      </w:r>
      <w:r>
        <w:rPr>
          <w:rFonts w:cs="Calibri"/>
          <w:sz w:val="20"/>
          <w:szCs w:val="20"/>
        </w:rPr>
        <w:t xml:space="preserve">; 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51C77">
        <w:rPr>
          <w:rFonts w:cs="Calibri"/>
          <w:sz w:val="20"/>
          <w:szCs w:val="20"/>
        </w:rPr>
        <w:t xml:space="preserve">PN-EN 933-9 Badania geometrycznych właściwości kruszyw – Ocena zawartości drobnych cząstek – Badania błękitem metylenowym; </w:t>
      </w:r>
    </w:p>
    <w:p w:rsidR="001C1CE2" w:rsidRPr="00044AEC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044AEC">
        <w:rPr>
          <w:rFonts w:cs="Calibri"/>
          <w:sz w:val="20"/>
          <w:szCs w:val="20"/>
        </w:rPr>
        <w:t>PN-EN 933-10 Badania geometrycznych właściwości kruszyw – Część 10: Ocena zawartości drobnych cząstek – Uziarnienie wypełniaczy (przesiewanie w strumieniu powietrza)</w:t>
      </w:r>
      <w:r>
        <w:rPr>
          <w:rFonts w:cs="Calibri"/>
          <w:sz w:val="20"/>
          <w:szCs w:val="20"/>
        </w:rPr>
        <w:t xml:space="preserve">; </w:t>
      </w:r>
    </w:p>
    <w:p w:rsidR="001C1CE2" w:rsidRPr="00044AEC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044AEC">
        <w:rPr>
          <w:rFonts w:cs="Calibri"/>
          <w:sz w:val="20"/>
          <w:szCs w:val="20"/>
        </w:rPr>
        <w:t>PN-EN 1097-2 Badania mechanicznych i fizycznych właściwości kruszyw – Metody oznaczania odporności na rozdrabnianie</w:t>
      </w:r>
      <w:r>
        <w:rPr>
          <w:rFonts w:cs="Calibri"/>
          <w:sz w:val="20"/>
          <w:szCs w:val="20"/>
        </w:rPr>
        <w:t xml:space="preserve">; </w:t>
      </w:r>
    </w:p>
    <w:p w:rsidR="001C1CE2" w:rsidRPr="00044AEC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044AEC">
        <w:rPr>
          <w:rFonts w:cs="Calibri"/>
          <w:sz w:val="20"/>
          <w:szCs w:val="20"/>
        </w:rPr>
        <w:t xml:space="preserve">PN-EN 1097-3 Badania mechanicznych i fizycznych właściwości kruszyw – Oznaczanie gęstości nasypowej </w:t>
      </w:r>
      <w:r>
        <w:rPr>
          <w:rFonts w:cs="Calibri"/>
          <w:sz w:val="20"/>
          <w:szCs w:val="20"/>
        </w:rPr>
        <w:br/>
      </w:r>
      <w:r w:rsidRPr="00044AEC">
        <w:rPr>
          <w:rFonts w:cs="Calibri"/>
          <w:sz w:val="20"/>
          <w:szCs w:val="20"/>
        </w:rPr>
        <w:t>i jamistości</w:t>
      </w:r>
      <w:r>
        <w:rPr>
          <w:rFonts w:cs="Calibri"/>
          <w:sz w:val="20"/>
          <w:szCs w:val="20"/>
        </w:rPr>
        <w:t>;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044AEC">
        <w:rPr>
          <w:rFonts w:cs="Calibri"/>
          <w:sz w:val="20"/>
          <w:szCs w:val="20"/>
        </w:rPr>
        <w:t>PN-EN 1097-4 Badania mechanicznych i fizycznych właściwości kruszyw – Część 4: Oznaczanie pustych przestrzeni suchego, zagęszczonego wypełniacza;</w:t>
      </w:r>
    </w:p>
    <w:p w:rsidR="001C1CE2" w:rsidRPr="00044AEC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044AEC">
        <w:rPr>
          <w:rFonts w:cs="Calibri"/>
          <w:sz w:val="20"/>
          <w:szCs w:val="20"/>
        </w:rPr>
        <w:t>PN-EN 1097-5 Badania mechanicznych i fizycznych właściwości kruszyw – Część 5: Oznaczanie zawartości wody przez suszenie w suszarce z wentylacją</w:t>
      </w:r>
      <w:r>
        <w:rPr>
          <w:rFonts w:cs="Calibri"/>
          <w:sz w:val="20"/>
          <w:szCs w:val="20"/>
        </w:rPr>
        <w:t xml:space="preserve">; </w:t>
      </w:r>
    </w:p>
    <w:p w:rsidR="001C1CE2" w:rsidRPr="00044AEC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044AEC">
        <w:rPr>
          <w:rFonts w:cs="Calibri"/>
          <w:sz w:val="20"/>
          <w:szCs w:val="20"/>
        </w:rPr>
        <w:t xml:space="preserve">PN-EN 1097-6 Badania mechanicznych i fizycznych właściwości kruszyw –Część 6: Oznaczanie gęstości ziaren </w:t>
      </w:r>
      <w:r>
        <w:rPr>
          <w:rFonts w:cs="Calibri"/>
          <w:sz w:val="20"/>
          <w:szCs w:val="20"/>
        </w:rPr>
        <w:br/>
      </w:r>
      <w:r w:rsidRPr="00044AEC">
        <w:rPr>
          <w:rFonts w:cs="Calibri"/>
          <w:sz w:val="20"/>
          <w:szCs w:val="20"/>
        </w:rPr>
        <w:t>i nasiąkliwości</w:t>
      </w:r>
      <w:r>
        <w:rPr>
          <w:rFonts w:cs="Calibri"/>
          <w:sz w:val="20"/>
          <w:szCs w:val="20"/>
        </w:rPr>
        <w:t>;</w:t>
      </w:r>
    </w:p>
    <w:p w:rsidR="001C1CE2" w:rsidRPr="00263CA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1097-7 Badania mechanicznych i fizycznych właściwości kruszyw – Część 7: Oznaczanie gęstości wypełniacza – Metoda piknometryczna</w:t>
      </w:r>
      <w:r>
        <w:rPr>
          <w:rFonts w:cs="Calibri"/>
          <w:sz w:val="20"/>
          <w:szCs w:val="20"/>
        </w:rPr>
        <w:t>;</w:t>
      </w:r>
    </w:p>
    <w:p w:rsidR="001C1CE2" w:rsidRPr="00263CA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1097-8 Badania mechanicznych i fizycznych właściwości kruszyw – Część 8: Oznaczanie polerowalności kamienia</w:t>
      </w:r>
      <w:r>
        <w:rPr>
          <w:rFonts w:cs="Calibri"/>
          <w:sz w:val="20"/>
          <w:szCs w:val="20"/>
        </w:rPr>
        <w:t>;</w:t>
      </w:r>
    </w:p>
    <w:p w:rsidR="001C1CE2" w:rsidRPr="00263CA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1367-1 Badania właściwości cieplnych i odporności kruszyw na działanie czynników atmosferycznych – Część 1: Oznaczanie mrozoodporności</w:t>
      </w:r>
      <w:r>
        <w:rPr>
          <w:rFonts w:cs="Calibri"/>
          <w:sz w:val="20"/>
          <w:szCs w:val="20"/>
        </w:rPr>
        <w:t xml:space="preserve">; </w:t>
      </w:r>
    </w:p>
    <w:p w:rsidR="001C1CE2" w:rsidRPr="00263CA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1367-3 Badania właściwości cieplnych i odporności kruszyw na działanie czynników atmosferycznych – Część 3: Badanie bazaltowej zgorzeli słonecznej metodą gotowania</w:t>
      </w:r>
      <w:r>
        <w:rPr>
          <w:rFonts w:cs="Calibri"/>
          <w:sz w:val="20"/>
          <w:szCs w:val="20"/>
        </w:rPr>
        <w:t>;</w:t>
      </w:r>
    </w:p>
    <w:p w:rsidR="001C1CE2" w:rsidRPr="00F6190D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1426 Asfalty i produkty asfaltowe – Oznaczanie penetracji igłą</w:t>
      </w:r>
      <w:r>
        <w:rPr>
          <w:rFonts w:cs="Calibri"/>
          <w:sz w:val="20"/>
          <w:szCs w:val="20"/>
        </w:rPr>
        <w:t>;</w:t>
      </w:r>
    </w:p>
    <w:p w:rsidR="001C1CE2" w:rsidRPr="00263CA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1427 Asfalty i produkty asfaltowe – Oznaczanie temperatury mięknienia –</w:t>
      </w:r>
      <w:r>
        <w:rPr>
          <w:rFonts w:cs="Calibri"/>
          <w:sz w:val="20"/>
          <w:szCs w:val="20"/>
        </w:rPr>
        <w:t xml:space="preserve"> Metodą „p</w:t>
      </w:r>
      <w:r w:rsidRPr="00263CAE">
        <w:rPr>
          <w:rFonts w:cs="Calibri"/>
          <w:sz w:val="20"/>
          <w:szCs w:val="20"/>
        </w:rPr>
        <w:t xml:space="preserve">ierścień i </w:t>
      </w:r>
      <w:r>
        <w:rPr>
          <w:rFonts w:cs="Calibri"/>
          <w:sz w:val="20"/>
          <w:szCs w:val="20"/>
        </w:rPr>
        <w:t>k</w:t>
      </w:r>
      <w:r w:rsidRPr="00263CAE">
        <w:rPr>
          <w:rFonts w:cs="Calibri"/>
          <w:sz w:val="20"/>
          <w:szCs w:val="20"/>
        </w:rPr>
        <w:t>ula</w:t>
      </w:r>
      <w:r>
        <w:rPr>
          <w:rFonts w:cs="Calibri"/>
          <w:sz w:val="20"/>
          <w:szCs w:val="20"/>
        </w:rPr>
        <w:t>”;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1428 Asfalty i lepiszcza asfaltowe – Oznaczanie zawartości wody w emulsjach asfaltowych – Metoda destylacji azeotropowej;</w:t>
      </w:r>
    </w:p>
    <w:p w:rsidR="001C1CE2" w:rsidRPr="00263CA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1429 Asfalty i lepiszcza asfaltowe – Oznaczanie pozostałości na sicie emulsji asfaltowych oraz trwałości podczas magazynowania metodą pozostałości na sicie</w:t>
      </w:r>
      <w:r>
        <w:rPr>
          <w:rFonts w:cs="Calibri"/>
          <w:sz w:val="20"/>
          <w:szCs w:val="20"/>
        </w:rPr>
        <w:t>;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1744-1 Badania chemicznych właściwości kruszyw – Analiza chemiczna</w:t>
      </w:r>
      <w:r>
        <w:rPr>
          <w:rFonts w:cs="Calibri"/>
          <w:sz w:val="20"/>
          <w:szCs w:val="20"/>
        </w:rPr>
        <w:t xml:space="preserve">; </w:t>
      </w:r>
    </w:p>
    <w:p w:rsidR="001C1CE2" w:rsidRPr="00263CA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1744-4 Badania chemicznych właściwości kruszyw – Część 4: Oznaczanie podatności wypełniaczy do mieszanek mineralno-asfaltowych na działanie wody</w:t>
      </w:r>
      <w:r>
        <w:rPr>
          <w:rFonts w:cs="Calibri"/>
          <w:sz w:val="20"/>
          <w:szCs w:val="20"/>
        </w:rPr>
        <w:t>;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12591 Asfalty i produkty asfaltowe – Wymagania dla asfaltów drogowych</w:t>
      </w:r>
      <w:r>
        <w:rPr>
          <w:rFonts w:cs="Calibri"/>
          <w:sz w:val="20"/>
          <w:szCs w:val="20"/>
        </w:rPr>
        <w:t>;</w:t>
      </w:r>
    </w:p>
    <w:p w:rsidR="001C1CE2" w:rsidRPr="00263CA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63CAE">
        <w:rPr>
          <w:rFonts w:cs="Calibri"/>
          <w:sz w:val="20"/>
          <w:szCs w:val="20"/>
        </w:rPr>
        <w:t>PN-EN 12592 Asfalty i produkty asfaltowe – Oznaczanie rozpuszczalności</w:t>
      </w:r>
      <w:r>
        <w:rPr>
          <w:rFonts w:cs="Calibri"/>
          <w:sz w:val="20"/>
          <w:szCs w:val="20"/>
        </w:rPr>
        <w:t>;</w:t>
      </w:r>
    </w:p>
    <w:p w:rsidR="001C1CE2" w:rsidRPr="00F6190D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12593 Asfalty i produkty asfaltowe – Oznaczanie temperatury łamliwości Fraassa</w:t>
      </w:r>
      <w:r>
        <w:rPr>
          <w:rFonts w:cs="Calibri"/>
          <w:sz w:val="20"/>
          <w:szCs w:val="20"/>
        </w:rPr>
        <w:t>;</w:t>
      </w:r>
    </w:p>
    <w:p w:rsidR="001C1CE2" w:rsidRPr="00A9562E" w:rsidRDefault="001C1CE2" w:rsidP="00A9562E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12606-1 Asfalty i produkty asfaltowe – Oznaczanie zawartości parafiny – Część 1:</w:t>
      </w:r>
      <w:r>
        <w:rPr>
          <w:rFonts w:cs="Calibri"/>
          <w:sz w:val="20"/>
          <w:szCs w:val="20"/>
        </w:rPr>
        <w:t xml:space="preserve"> </w:t>
      </w:r>
      <w:r w:rsidRPr="00A9562E">
        <w:rPr>
          <w:rFonts w:cs="Calibri"/>
          <w:sz w:val="20"/>
          <w:szCs w:val="20"/>
        </w:rPr>
        <w:t>Metoda destylacyjna</w:t>
      </w:r>
    </w:p>
    <w:p w:rsidR="001C1CE2" w:rsidRPr="009C6957" w:rsidRDefault="001C1CE2" w:rsidP="00A9562E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9C6957">
        <w:rPr>
          <w:rFonts w:cs="Calibri"/>
          <w:sz w:val="20"/>
          <w:szCs w:val="20"/>
        </w:rPr>
        <w:t xml:space="preserve">PN-EN 12607-1 Asfalty i produkty asfaltowe – Oznaczanie odporności na twardnienie pod wpływem ciepła </w:t>
      </w:r>
      <w:r>
        <w:rPr>
          <w:rFonts w:cs="Calibri"/>
          <w:sz w:val="20"/>
          <w:szCs w:val="20"/>
        </w:rPr>
        <w:br/>
      </w:r>
      <w:r w:rsidRPr="009C6957">
        <w:rPr>
          <w:rFonts w:cs="Calibri"/>
          <w:sz w:val="20"/>
          <w:szCs w:val="20"/>
        </w:rPr>
        <w:t xml:space="preserve">i powietrza – Część 1: Metoda RTFOT </w:t>
      </w:r>
    </w:p>
    <w:p w:rsidR="001C1CE2" w:rsidRPr="00A9562E" w:rsidRDefault="001C1CE2" w:rsidP="00A9562E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12607-3</w:t>
      </w:r>
      <w:r>
        <w:rPr>
          <w:rFonts w:cs="Calibri"/>
          <w:sz w:val="20"/>
          <w:szCs w:val="20"/>
        </w:rPr>
        <w:t xml:space="preserve"> j</w:t>
      </w:r>
      <w:r w:rsidRPr="00A9562E">
        <w:rPr>
          <w:rFonts w:cs="Calibri"/>
          <w:sz w:val="20"/>
          <w:szCs w:val="20"/>
        </w:rPr>
        <w:t>w. Część 3: Metoda RFT</w:t>
      </w:r>
      <w:r>
        <w:rPr>
          <w:rFonts w:cs="Calibri"/>
          <w:sz w:val="20"/>
          <w:szCs w:val="20"/>
        </w:rPr>
        <w:t>;</w:t>
      </w:r>
    </w:p>
    <w:p w:rsidR="001C1CE2" w:rsidRPr="00A9562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A9562E">
        <w:rPr>
          <w:rFonts w:cs="Calibri"/>
          <w:sz w:val="20"/>
          <w:szCs w:val="20"/>
        </w:rPr>
        <w:t>PN-EN 12697-6 Mieszanki mineralno-asfaltowe – Metody badań mieszanek mineralnoasfaltowych na gorąco – Część 6: Oznaczanie gęstości objętościowej metodą hydrostatyczną</w:t>
      </w:r>
    </w:p>
    <w:p w:rsidR="001C1CE2" w:rsidRDefault="001C1CE2" w:rsidP="00A9562E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12697-8 Mieszanki mineralno-asfaltowe – Metody badań mieszanek mineralnoasfaltowych</w:t>
      </w:r>
      <w:r>
        <w:rPr>
          <w:rFonts w:cs="Calibri"/>
          <w:sz w:val="20"/>
          <w:szCs w:val="20"/>
        </w:rPr>
        <w:t xml:space="preserve"> </w:t>
      </w:r>
      <w:r w:rsidRPr="00A9562E">
        <w:rPr>
          <w:rFonts w:cs="Calibri"/>
          <w:sz w:val="20"/>
          <w:szCs w:val="20"/>
        </w:rPr>
        <w:t>na gorąco – Część 8: Oznaczanie zawartości wolnej przestrzeni</w:t>
      </w:r>
      <w:r>
        <w:rPr>
          <w:rFonts w:cs="Calibri"/>
          <w:sz w:val="20"/>
          <w:szCs w:val="20"/>
        </w:rPr>
        <w:t xml:space="preserve">; </w:t>
      </w:r>
    </w:p>
    <w:p w:rsidR="001C1CE2" w:rsidRPr="009C6957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9C6957">
        <w:rPr>
          <w:rFonts w:cs="Calibri"/>
          <w:sz w:val="20"/>
          <w:szCs w:val="20"/>
        </w:rPr>
        <w:t>PN-EN 12697-11 Mieszanki mineralno-asfaltowe – Metody badań mieszanek mineralnoasfaltowych na gorąco – Część 11: Określenie powiązania pomiędzy kruszywem i asfaltem</w:t>
      </w:r>
      <w:r>
        <w:rPr>
          <w:rFonts w:cs="Calibri"/>
          <w:sz w:val="20"/>
          <w:szCs w:val="20"/>
        </w:rPr>
        <w:t xml:space="preserve"> </w:t>
      </w:r>
    </w:p>
    <w:p w:rsidR="001C1CE2" w:rsidRPr="009C6957" w:rsidRDefault="001C1CE2" w:rsidP="009C6957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12697-12 Mieszanki mineralno-asfaltowe – Metody badań mieszanek mineralnoasfaltowych</w:t>
      </w:r>
      <w:r>
        <w:rPr>
          <w:rFonts w:cs="Calibri"/>
          <w:sz w:val="20"/>
          <w:szCs w:val="20"/>
        </w:rPr>
        <w:t xml:space="preserve"> </w:t>
      </w:r>
      <w:r w:rsidRPr="009C6957">
        <w:rPr>
          <w:rFonts w:cs="Calibri"/>
          <w:sz w:val="20"/>
          <w:szCs w:val="20"/>
        </w:rPr>
        <w:t>na gorąco – Część 12: Określanie wrażliwości na wodę</w:t>
      </w:r>
      <w:r>
        <w:rPr>
          <w:rFonts w:cs="Calibri"/>
          <w:sz w:val="20"/>
          <w:szCs w:val="20"/>
        </w:rPr>
        <w:t>;</w:t>
      </w:r>
    </w:p>
    <w:p w:rsidR="001C1CE2" w:rsidRPr="00AF7096" w:rsidRDefault="001C1CE2" w:rsidP="00AF7096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12697-13 Mieszanki mineralno-asfaltowe – Metody badań mieszanek mineralnoasfaltowych</w:t>
      </w:r>
      <w:r>
        <w:rPr>
          <w:rFonts w:cs="Calibri"/>
          <w:sz w:val="20"/>
          <w:szCs w:val="20"/>
        </w:rPr>
        <w:t xml:space="preserve"> </w:t>
      </w:r>
      <w:r w:rsidRPr="00AF7096">
        <w:rPr>
          <w:rFonts w:cs="Calibri"/>
          <w:sz w:val="20"/>
          <w:szCs w:val="20"/>
        </w:rPr>
        <w:t>na gorąco – Część 13: Pomiar temperatury</w:t>
      </w:r>
      <w:r>
        <w:rPr>
          <w:rFonts w:cs="Calibri"/>
          <w:sz w:val="20"/>
          <w:szCs w:val="20"/>
        </w:rPr>
        <w:t xml:space="preserve">; </w:t>
      </w:r>
    </w:p>
    <w:p w:rsidR="001C1CE2" w:rsidRPr="00AF7096" w:rsidRDefault="001C1CE2" w:rsidP="00AF7096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12697-18 Mieszanki mineralno-asfaltowe – Metody badań mieszanek mineralnoasfaltowych</w:t>
      </w:r>
      <w:r>
        <w:rPr>
          <w:rFonts w:cs="Calibri"/>
          <w:sz w:val="20"/>
          <w:szCs w:val="20"/>
        </w:rPr>
        <w:t xml:space="preserve"> </w:t>
      </w:r>
      <w:r w:rsidRPr="00AF7096">
        <w:rPr>
          <w:rFonts w:cs="Calibri"/>
          <w:sz w:val="20"/>
          <w:szCs w:val="20"/>
        </w:rPr>
        <w:t>na gorąco – Część 18: Spływanie lepiszcza</w:t>
      </w:r>
      <w:r>
        <w:rPr>
          <w:rFonts w:cs="Calibri"/>
          <w:sz w:val="20"/>
          <w:szCs w:val="20"/>
        </w:rPr>
        <w:t>;</w:t>
      </w:r>
    </w:p>
    <w:p w:rsidR="001C1CE2" w:rsidRPr="00AF7096" w:rsidRDefault="001C1CE2" w:rsidP="00AF7096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12697-22 Mieszanki mineralno-asfaltowe – Metody badań mieszanek mineralnoasfaltowych</w:t>
      </w:r>
      <w:r>
        <w:rPr>
          <w:rFonts w:cs="Calibri"/>
          <w:sz w:val="20"/>
          <w:szCs w:val="20"/>
        </w:rPr>
        <w:t xml:space="preserve"> </w:t>
      </w:r>
      <w:r w:rsidRPr="00AF7096">
        <w:rPr>
          <w:rFonts w:cs="Calibri"/>
          <w:sz w:val="20"/>
          <w:szCs w:val="20"/>
        </w:rPr>
        <w:t>na gorąco – Część 22: Koleinowanie</w:t>
      </w:r>
      <w:r>
        <w:rPr>
          <w:rFonts w:cs="Calibri"/>
          <w:sz w:val="20"/>
          <w:szCs w:val="20"/>
        </w:rPr>
        <w:t>;</w:t>
      </w:r>
    </w:p>
    <w:p w:rsidR="001C1CE2" w:rsidRPr="00AF7096" w:rsidRDefault="001C1CE2" w:rsidP="00AF7096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12697-27 Mieszanki mineralno-asfaltowe – Metody badań mieszanek mineralnoasfaltowych</w:t>
      </w:r>
      <w:r>
        <w:rPr>
          <w:rFonts w:cs="Calibri"/>
          <w:sz w:val="20"/>
          <w:szCs w:val="20"/>
        </w:rPr>
        <w:t xml:space="preserve"> </w:t>
      </w:r>
      <w:r w:rsidRPr="00AF7096">
        <w:rPr>
          <w:rFonts w:cs="Calibri"/>
          <w:sz w:val="20"/>
          <w:szCs w:val="20"/>
        </w:rPr>
        <w:t>na gorąco – Część 27: Pobieranie próbek</w:t>
      </w:r>
      <w:r>
        <w:rPr>
          <w:rFonts w:cs="Calibri"/>
          <w:sz w:val="20"/>
          <w:szCs w:val="20"/>
        </w:rPr>
        <w:t>;</w:t>
      </w:r>
    </w:p>
    <w:p w:rsidR="001C1CE2" w:rsidRPr="00653D37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653D37">
        <w:rPr>
          <w:rFonts w:cs="Calibri"/>
          <w:sz w:val="20"/>
          <w:szCs w:val="20"/>
        </w:rPr>
        <w:t>PN-EN 12697-36 Mieszanki mineralno-asfaltowe – Metody badań mieszanek mineralnoasfaltowych na gorąco – Część 36: Oznaczanie grubości nawierzchni asfaltowych</w:t>
      </w:r>
      <w:r>
        <w:rPr>
          <w:rFonts w:cs="Calibri"/>
          <w:sz w:val="20"/>
          <w:szCs w:val="20"/>
        </w:rPr>
        <w:t>;</w:t>
      </w:r>
    </w:p>
    <w:p w:rsidR="001C1CE2" w:rsidRPr="00653D37" w:rsidRDefault="001C1CE2" w:rsidP="00653D37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12846 Asfalty i lepiszcza asfaltowe – Oznaczanie czasu wypływu emulsji asfaltowych</w:t>
      </w:r>
      <w:r>
        <w:rPr>
          <w:rFonts w:cs="Calibri"/>
          <w:sz w:val="20"/>
          <w:szCs w:val="20"/>
        </w:rPr>
        <w:t xml:space="preserve"> </w:t>
      </w:r>
      <w:r w:rsidRPr="00653D37">
        <w:rPr>
          <w:rFonts w:cs="Calibri"/>
          <w:sz w:val="20"/>
          <w:szCs w:val="20"/>
        </w:rPr>
        <w:t>lepkościomierzem wypływowym</w:t>
      </w:r>
      <w:r>
        <w:rPr>
          <w:rFonts w:cs="Calibri"/>
          <w:sz w:val="20"/>
          <w:szCs w:val="20"/>
        </w:rPr>
        <w:t>;</w:t>
      </w:r>
    </w:p>
    <w:p w:rsidR="001C1CE2" w:rsidRPr="00F6190D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12847 Asfalty i lepiszcza asfaltowe – Oznaczanie sedymentacji emulsji asfaltowych</w:t>
      </w:r>
      <w:r>
        <w:rPr>
          <w:rFonts w:cs="Calibri"/>
          <w:sz w:val="20"/>
          <w:szCs w:val="20"/>
        </w:rPr>
        <w:t>;</w:t>
      </w:r>
    </w:p>
    <w:p w:rsidR="001C1CE2" w:rsidRPr="00F6190D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12850 Asfalty i lepiszcza asfaltowe – Oznaczanie wartości pH emulsji asfaltowych</w:t>
      </w:r>
      <w:r>
        <w:rPr>
          <w:rFonts w:cs="Calibri"/>
          <w:sz w:val="20"/>
          <w:szCs w:val="20"/>
        </w:rPr>
        <w:t>;</w:t>
      </w:r>
    </w:p>
    <w:p w:rsidR="001C1CE2" w:rsidRPr="00653D37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653D37">
        <w:rPr>
          <w:rFonts w:cs="Calibri"/>
          <w:sz w:val="20"/>
          <w:szCs w:val="20"/>
        </w:rPr>
        <w:t>PN-EN 13043 Kruszywa do mieszanek bitumicznych i powierzchniowych utrwaleń stosowanych na drogach, lotniskach i innych powierzchniach przeznaczonych do ruchu</w:t>
      </w:r>
      <w:r>
        <w:rPr>
          <w:rFonts w:cs="Calibri"/>
          <w:sz w:val="20"/>
          <w:szCs w:val="20"/>
        </w:rPr>
        <w:t>;</w:t>
      </w:r>
    </w:p>
    <w:p w:rsidR="001C1CE2" w:rsidRPr="00653D37" w:rsidRDefault="001C1CE2" w:rsidP="00653D37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13074 Asfalty i lepiszcza asfaltowe – Oznaczanie lepiszczy z emulsji asfaltowych przez</w:t>
      </w:r>
      <w:r>
        <w:rPr>
          <w:rFonts w:cs="Calibri"/>
          <w:sz w:val="20"/>
          <w:szCs w:val="20"/>
        </w:rPr>
        <w:t xml:space="preserve"> </w:t>
      </w:r>
      <w:r w:rsidRPr="00653D37">
        <w:rPr>
          <w:rFonts w:cs="Calibri"/>
          <w:sz w:val="20"/>
          <w:szCs w:val="20"/>
        </w:rPr>
        <w:t>odparowanie</w:t>
      </w:r>
      <w:r>
        <w:rPr>
          <w:rFonts w:cs="Calibri"/>
          <w:sz w:val="20"/>
          <w:szCs w:val="20"/>
        </w:rPr>
        <w:t>;</w:t>
      </w:r>
    </w:p>
    <w:p w:rsidR="001C1CE2" w:rsidRPr="00B02414" w:rsidRDefault="001C1CE2" w:rsidP="00B02414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13075-1 Asfalty i lepiszcza asfaltowe – Badanie rozpadu – Część 1: Oznaczanie indeksu</w:t>
      </w:r>
      <w:r>
        <w:rPr>
          <w:rFonts w:cs="Calibri"/>
          <w:sz w:val="20"/>
          <w:szCs w:val="20"/>
        </w:rPr>
        <w:t xml:space="preserve"> </w:t>
      </w:r>
      <w:r w:rsidRPr="00B02414">
        <w:rPr>
          <w:rFonts w:cs="Calibri"/>
          <w:sz w:val="20"/>
          <w:szCs w:val="20"/>
        </w:rPr>
        <w:t>rozpadu kationowych emulsji asfaltowych, metoda z wypełniaczem mineralnym</w:t>
      </w:r>
      <w:r>
        <w:rPr>
          <w:rFonts w:cs="Calibri"/>
          <w:sz w:val="20"/>
          <w:szCs w:val="20"/>
        </w:rPr>
        <w:t>;</w:t>
      </w:r>
    </w:p>
    <w:p w:rsidR="001C1CE2" w:rsidRPr="00F6190D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13108-1 Mieszanki mineralno-asfaltowe – Wymagania – Część 1: Beton Asfaltowy</w:t>
      </w:r>
      <w:r>
        <w:rPr>
          <w:rFonts w:cs="Calibri"/>
          <w:sz w:val="20"/>
          <w:szCs w:val="20"/>
        </w:rPr>
        <w:t>;</w:t>
      </w:r>
    </w:p>
    <w:p w:rsidR="001C1CE2" w:rsidRPr="00F6190D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13108-20 Mieszanki mineralno-asfaltowe – Wymagania – Część 20: Badanie typu</w:t>
      </w:r>
      <w:r>
        <w:rPr>
          <w:rFonts w:cs="Calibri"/>
          <w:sz w:val="20"/>
          <w:szCs w:val="20"/>
        </w:rPr>
        <w:t>;</w:t>
      </w:r>
    </w:p>
    <w:p w:rsidR="001C1CE2" w:rsidRPr="00B02414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B02414">
        <w:rPr>
          <w:rFonts w:cs="Calibri"/>
          <w:sz w:val="20"/>
          <w:szCs w:val="20"/>
        </w:rPr>
        <w:t>PN-EN 13179-1 Badania kruszyw wypełniających stosowanych do mieszanek bitumicznych – Część 1: Badanie metodą Pierścienia i Kuli</w:t>
      </w:r>
      <w:r>
        <w:rPr>
          <w:rFonts w:cs="Calibri"/>
          <w:sz w:val="20"/>
          <w:szCs w:val="20"/>
        </w:rPr>
        <w:t>;</w:t>
      </w:r>
    </w:p>
    <w:p w:rsidR="001C1CE2" w:rsidRPr="00B02414" w:rsidRDefault="001C1CE2" w:rsidP="00B02414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13179-2 Badania kruszyw wypełniających stosowanych do mieszanek bitumicznych –</w:t>
      </w:r>
      <w:r>
        <w:rPr>
          <w:rFonts w:cs="Calibri"/>
          <w:sz w:val="20"/>
          <w:szCs w:val="20"/>
        </w:rPr>
        <w:t xml:space="preserve"> </w:t>
      </w:r>
      <w:r w:rsidRPr="00B02414">
        <w:rPr>
          <w:rFonts w:cs="Calibri"/>
          <w:sz w:val="20"/>
          <w:szCs w:val="20"/>
        </w:rPr>
        <w:t>Część 2: Liczba bitumiczna</w:t>
      </w:r>
      <w:r>
        <w:rPr>
          <w:rFonts w:cs="Calibri"/>
          <w:sz w:val="20"/>
          <w:szCs w:val="20"/>
        </w:rPr>
        <w:t>;</w:t>
      </w:r>
    </w:p>
    <w:p w:rsidR="001C1CE2" w:rsidRPr="0069087E" w:rsidRDefault="001C1CE2" w:rsidP="0069087E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13398 Asfalty i lepiszcza asfaltowe – Oznaczanie nawrotu sprężystego asfaltów</w:t>
      </w:r>
      <w:r>
        <w:rPr>
          <w:rFonts w:cs="Calibri"/>
          <w:sz w:val="20"/>
          <w:szCs w:val="20"/>
        </w:rPr>
        <w:t xml:space="preserve"> </w:t>
      </w:r>
      <w:r w:rsidRPr="0069087E">
        <w:rPr>
          <w:rFonts w:cs="Calibri"/>
          <w:sz w:val="20"/>
          <w:szCs w:val="20"/>
        </w:rPr>
        <w:t>modyfikowanych</w:t>
      </w:r>
      <w:r>
        <w:rPr>
          <w:rFonts w:cs="Calibri"/>
          <w:sz w:val="20"/>
          <w:szCs w:val="20"/>
        </w:rPr>
        <w:t>;</w:t>
      </w:r>
    </w:p>
    <w:p w:rsidR="001C1CE2" w:rsidRPr="0069087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69087E">
        <w:rPr>
          <w:rFonts w:cs="Calibri"/>
          <w:sz w:val="20"/>
          <w:szCs w:val="20"/>
        </w:rPr>
        <w:t>PN-EN 13399 Asfalty i lepiszcza asfaltowe – Oznaczanie odporności na magazynowanie modyfikowanych asfaltów</w:t>
      </w:r>
      <w:r>
        <w:rPr>
          <w:rFonts w:cs="Calibri"/>
          <w:sz w:val="20"/>
          <w:szCs w:val="20"/>
        </w:rPr>
        <w:t>;</w:t>
      </w:r>
    </w:p>
    <w:p w:rsidR="001C1CE2" w:rsidRPr="0069087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69087E">
        <w:rPr>
          <w:rFonts w:cs="Calibri"/>
          <w:sz w:val="20"/>
          <w:szCs w:val="20"/>
        </w:rPr>
        <w:t>PN-EN 13587 Asfalty i lepiszcza asfaltowe – Oznaczanie ciągliwości lepiszczy asfaltowych metodą pomiaru ciągliwości</w:t>
      </w:r>
      <w:r>
        <w:rPr>
          <w:rFonts w:cs="Calibri"/>
          <w:sz w:val="20"/>
          <w:szCs w:val="20"/>
        </w:rPr>
        <w:t xml:space="preserve">; </w:t>
      </w:r>
    </w:p>
    <w:p w:rsidR="001C1CE2" w:rsidRPr="0069087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69087E">
        <w:rPr>
          <w:rFonts w:cs="Calibri"/>
          <w:sz w:val="20"/>
          <w:szCs w:val="20"/>
        </w:rPr>
        <w:t>PN-EN 13588 Asfalty i lepiszcza asfaltowe – Oznaczanie kohezji lepiszczy asfaltowych metodą testu wahadłowego</w:t>
      </w:r>
      <w:r>
        <w:rPr>
          <w:rFonts w:cs="Calibri"/>
          <w:sz w:val="20"/>
          <w:szCs w:val="20"/>
        </w:rPr>
        <w:t>;</w:t>
      </w:r>
    </w:p>
    <w:p w:rsidR="001C1CE2" w:rsidRPr="0069087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69087E">
        <w:rPr>
          <w:rFonts w:cs="Calibri"/>
          <w:sz w:val="20"/>
          <w:szCs w:val="20"/>
        </w:rPr>
        <w:t xml:space="preserve">PN-EN 13589 Asfalty i lepiszcza asfaltowe – Oznaczanie ciągliwości modyfikowanych asfaltów – Metoda </w:t>
      </w:r>
      <w:r>
        <w:rPr>
          <w:rFonts w:cs="Calibri"/>
          <w:sz w:val="20"/>
          <w:szCs w:val="20"/>
        </w:rPr>
        <w:br/>
      </w:r>
      <w:r w:rsidRPr="0069087E">
        <w:rPr>
          <w:rFonts w:cs="Calibri"/>
          <w:sz w:val="20"/>
          <w:szCs w:val="20"/>
        </w:rPr>
        <w:t>z duktylometrem</w:t>
      </w:r>
      <w:r>
        <w:rPr>
          <w:rFonts w:cs="Calibri"/>
          <w:sz w:val="20"/>
          <w:szCs w:val="20"/>
        </w:rPr>
        <w:t>;</w:t>
      </w:r>
    </w:p>
    <w:p w:rsidR="001C1CE2" w:rsidRPr="0069087E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69087E">
        <w:rPr>
          <w:rFonts w:cs="Calibri"/>
          <w:sz w:val="20"/>
          <w:szCs w:val="20"/>
        </w:rPr>
        <w:t>PN-EN 13614 Asfalty i lepiszcza asfaltowe – Oznaczanie przyczepności emulsji bitumicznych przez zanurzenie w wodzie – Metoda z kruszywem</w:t>
      </w:r>
      <w:r>
        <w:rPr>
          <w:rFonts w:cs="Calibri"/>
          <w:sz w:val="20"/>
          <w:szCs w:val="20"/>
        </w:rPr>
        <w:t>;</w:t>
      </w:r>
    </w:p>
    <w:p w:rsidR="001C1CE2" w:rsidRPr="00F6190D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13703 Asfalty i lepiszcza asfaltowe – Oznaczanie energii deformacji</w:t>
      </w:r>
      <w:r>
        <w:rPr>
          <w:rFonts w:cs="Calibri"/>
          <w:sz w:val="20"/>
          <w:szCs w:val="20"/>
        </w:rPr>
        <w:t>;</w:t>
      </w:r>
    </w:p>
    <w:p w:rsidR="001C1CE2" w:rsidRPr="002D1E55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D1E55">
        <w:rPr>
          <w:rFonts w:cs="Calibri"/>
          <w:sz w:val="20"/>
          <w:szCs w:val="20"/>
        </w:rPr>
        <w:t>PN-EN 13808 Asfalty i lepiszcza asfaltowe – Zasady specyfikacji kationowych emulsji asfaltowych</w:t>
      </w:r>
      <w:r>
        <w:rPr>
          <w:rFonts w:cs="Calibri"/>
          <w:sz w:val="20"/>
          <w:szCs w:val="20"/>
        </w:rPr>
        <w:t>;</w:t>
      </w:r>
    </w:p>
    <w:p w:rsidR="001C1CE2" w:rsidRPr="002D1E55" w:rsidRDefault="001C1CE2" w:rsidP="002D1E55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14023 Asfalty i lepiszcza asfaltowe – Zasady specyfikacji asfaltów modyfikowanych</w:t>
      </w:r>
      <w:r>
        <w:rPr>
          <w:rFonts w:cs="Calibri"/>
          <w:sz w:val="20"/>
          <w:szCs w:val="20"/>
        </w:rPr>
        <w:t xml:space="preserve"> </w:t>
      </w:r>
      <w:r w:rsidRPr="002D1E55">
        <w:rPr>
          <w:rFonts w:cs="Calibri"/>
          <w:sz w:val="20"/>
          <w:szCs w:val="20"/>
        </w:rPr>
        <w:t>polimerami</w:t>
      </w:r>
      <w:r>
        <w:rPr>
          <w:rFonts w:cs="Calibri"/>
          <w:sz w:val="20"/>
          <w:szCs w:val="20"/>
        </w:rPr>
        <w:t>;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D1E55">
        <w:rPr>
          <w:rFonts w:cs="Calibri"/>
          <w:sz w:val="20"/>
          <w:szCs w:val="20"/>
        </w:rPr>
        <w:t>PN-EN 14188-1 Wypełniacze złączy i zalewy – Część 1: Specyfikacja zalew na gorąco</w:t>
      </w:r>
      <w:r>
        <w:rPr>
          <w:rFonts w:cs="Calibri"/>
          <w:sz w:val="20"/>
          <w:szCs w:val="20"/>
        </w:rPr>
        <w:t>;</w:t>
      </w:r>
      <w:r w:rsidRPr="002D1E55">
        <w:rPr>
          <w:rFonts w:cs="Calibri"/>
          <w:sz w:val="20"/>
          <w:szCs w:val="20"/>
        </w:rPr>
        <w:t xml:space="preserve"> </w:t>
      </w:r>
    </w:p>
    <w:p w:rsidR="001C1CE2" w:rsidRPr="002D1E55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D1E55">
        <w:rPr>
          <w:rFonts w:cs="Calibri"/>
          <w:sz w:val="20"/>
          <w:szCs w:val="20"/>
        </w:rPr>
        <w:t>PN-EN 14188-2 Wypełniacze złączy i zalewy – Część 2: Specyfikacja zalew na zimno</w:t>
      </w:r>
      <w:r>
        <w:rPr>
          <w:rFonts w:cs="Calibri"/>
          <w:sz w:val="20"/>
          <w:szCs w:val="20"/>
        </w:rPr>
        <w:t>;</w:t>
      </w:r>
    </w:p>
    <w:p w:rsidR="001C1CE2" w:rsidRPr="002D1E55" w:rsidRDefault="001C1CE2" w:rsidP="002D1E55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22592 Przetwory naftowe – Oznaczanie temperatury zapłonu i palenia – Pomiar metodą</w:t>
      </w:r>
      <w:r>
        <w:rPr>
          <w:rFonts w:cs="Calibri"/>
          <w:sz w:val="20"/>
          <w:szCs w:val="20"/>
        </w:rPr>
        <w:t xml:space="preserve"> </w:t>
      </w:r>
      <w:r w:rsidRPr="002D1E55">
        <w:rPr>
          <w:rFonts w:cs="Calibri"/>
          <w:sz w:val="20"/>
          <w:szCs w:val="20"/>
        </w:rPr>
        <w:t>otwartego tygla Clevelanda</w:t>
      </w:r>
      <w:r>
        <w:rPr>
          <w:rFonts w:cs="Calibri"/>
          <w:sz w:val="20"/>
          <w:szCs w:val="20"/>
        </w:rPr>
        <w:t>;</w:t>
      </w:r>
    </w:p>
    <w:p w:rsidR="001C1CE2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PN-EN ISO 2592 Oznaczanie temperatury zapłonu i palenia – Metoda otwartego tygla Clevelanda</w:t>
      </w:r>
      <w:r>
        <w:rPr>
          <w:rFonts w:cs="Calibri"/>
          <w:sz w:val="20"/>
          <w:szCs w:val="20"/>
        </w:rPr>
        <w:t>.</w:t>
      </w:r>
    </w:p>
    <w:p w:rsidR="001C1CE2" w:rsidRPr="00F6190D" w:rsidRDefault="001C1CE2" w:rsidP="002D1E5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</w:p>
    <w:p w:rsidR="001C1CE2" w:rsidRPr="002D1E55" w:rsidRDefault="001C1CE2" w:rsidP="002D1E5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2D1E55">
        <w:rPr>
          <w:rFonts w:cs="Calibri"/>
          <w:sz w:val="20"/>
          <w:szCs w:val="20"/>
        </w:rPr>
        <w:t>10.3. Wymagania techniczne</w:t>
      </w:r>
    </w:p>
    <w:p w:rsidR="001C1CE2" w:rsidRPr="0007751D" w:rsidRDefault="001C1CE2" w:rsidP="0007751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WT-1 Kruszywa 2010. Kruszywa do mieszanek mineralno-asfaltowych i powierzchniowych utrwaleń na</w:t>
      </w:r>
      <w:r>
        <w:rPr>
          <w:rFonts w:cs="Calibri"/>
          <w:sz w:val="20"/>
          <w:szCs w:val="20"/>
        </w:rPr>
        <w:t xml:space="preserve"> </w:t>
      </w:r>
      <w:r w:rsidRPr="0007751D">
        <w:rPr>
          <w:rFonts w:cs="Calibri"/>
          <w:sz w:val="20"/>
          <w:szCs w:val="20"/>
        </w:rPr>
        <w:t xml:space="preserve">drogach krajowych - Zarządzenie nr 102 Generalnego Dyrektora Dróg Krajowych i Autostrad z dnia </w:t>
      </w:r>
      <w:r>
        <w:rPr>
          <w:rFonts w:cs="Calibri"/>
          <w:sz w:val="20"/>
          <w:szCs w:val="20"/>
        </w:rPr>
        <w:br/>
      </w:r>
      <w:r w:rsidRPr="0007751D">
        <w:rPr>
          <w:rFonts w:cs="Calibri"/>
          <w:sz w:val="20"/>
          <w:szCs w:val="20"/>
        </w:rPr>
        <w:t>19</w:t>
      </w:r>
      <w:r>
        <w:rPr>
          <w:rFonts w:cs="Calibri"/>
          <w:sz w:val="20"/>
          <w:szCs w:val="20"/>
        </w:rPr>
        <w:t xml:space="preserve"> </w:t>
      </w:r>
      <w:r w:rsidRPr="0007751D">
        <w:rPr>
          <w:rFonts w:cs="Calibri"/>
          <w:sz w:val="20"/>
          <w:szCs w:val="20"/>
        </w:rPr>
        <w:t>listopada 2010 r.</w:t>
      </w:r>
    </w:p>
    <w:p w:rsidR="001C1CE2" w:rsidRPr="0007751D" w:rsidRDefault="001C1CE2" w:rsidP="0007751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WT-2 Nawierzchnie asfaltowe 2010. Nawierzchnie asfaltowe na drogach krajowych - Zarządzenie nr 102</w:t>
      </w:r>
      <w:r>
        <w:rPr>
          <w:rFonts w:cs="Calibri"/>
          <w:sz w:val="20"/>
          <w:szCs w:val="20"/>
        </w:rPr>
        <w:t xml:space="preserve"> </w:t>
      </w:r>
      <w:r w:rsidRPr="0007751D">
        <w:rPr>
          <w:rFonts w:cs="Calibri"/>
          <w:sz w:val="20"/>
          <w:szCs w:val="20"/>
        </w:rPr>
        <w:t>Generalnego Dyrektora Dróg Krajowych i Autostrad z dnia 19 listopada 2011 r.</w:t>
      </w:r>
    </w:p>
    <w:p w:rsidR="001C1CE2" w:rsidRPr="00F6190D" w:rsidRDefault="001C1CE2" w:rsidP="00F6190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WT-3 Emulsje asfaltowe 2009. Kationowe emulsje asfaltowe na drogach publicznych</w:t>
      </w:r>
      <w:r>
        <w:rPr>
          <w:rFonts w:cs="Calibri"/>
          <w:sz w:val="20"/>
          <w:szCs w:val="20"/>
        </w:rPr>
        <w:t>.</w:t>
      </w:r>
    </w:p>
    <w:p w:rsidR="001C1CE2" w:rsidRPr="0007751D" w:rsidRDefault="001C1CE2" w:rsidP="0007751D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cs="Calibri"/>
          <w:sz w:val="20"/>
          <w:szCs w:val="20"/>
        </w:rPr>
      </w:pPr>
    </w:p>
    <w:p w:rsidR="001C1CE2" w:rsidRPr="0007751D" w:rsidRDefault="001C1CE2" w:rsidP="0007751D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07751D">
        <w:rPr>
          <w:rFonts w:cs="Calibri"/>
          <w:sz w:val="20"/>
          <w:szCs w:val="20"/>
        </w:rPr>
        <w:t>10.4. Inne dokumenty</w:t>
      </w:r>
    </w:p>
    <w:p w:rsidR="001C1CE2" w:rsidRPr="0007751D" w:rsidRDefault="001C1CE2" w:rsidP="0007751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Rozporządzenie Ministra Transportu i Gospodarki Morskiej z dnia 2 marca 1999 r. w sprawie warunków</w:t>
      </w:r>
      <w:r>
        <w:rPr>
          <w:rFonts w:cs="Calibri"/>
          <w:sz w:val="20"/>
          <w:szCs w:val="20"/>
        </w:rPr>
        <w:t xml:space="preserve"> </w:t>
      </w:r>
      <w:r w:rsidRPr="0007751D">
        <w:rPr>
          <w:rFonts w:cs="Calibri"/>
          <w:sz w:val="20"/>
          <w:szCs w:val="20"/>
        </w:rPr>
        <w:t>technicznych, jakim powinny odpowiadać drogi publiczne i ich usytuowanie (Dz.U. nr 43, poz. 430)</w:t>
      </w:r>
      <w:r>
        <w:rPr>
          <w:rFonts w:cs="Calibri"/>
          <w:sz w:val="20"/>
          <w:szCs w:val="20"/>
        </w:rPr>
        <w:t>.</w:t>
      </w:r>
    </w:p>
    <w:p w:rsidR="001C1CE2" w:rsidRPr="0007751D" w:rsidRDefault="001C1CE2" w:rsidP="0007751D">
      <w:pPr>
        <w:pStyle w:val="ListParagraph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F6190D">
        <w:rPr>
          <w:rFonts w:cs="Calibri"/>
          <w:sz w:val="20"/>
          <w:szCs w:val="20"/>
        </w:rPr>
        <w:t>Katalog typowych konstrukcji nawierzchni podatnych i półsztywnych. Generalna Dyrekcja Dróg</w:t>
      </w:r>
      <w:r>
        <w:rPr>
          <w:rFonts w:cs="Calibri"/>
          <w:sz w:val="20"/>
          <w:szCs w:val="20"/>
        </w:rPr>
        <w:t xml:space="preserve"> </w:t>
      </w:r>
      <w:r w:rsidRPr="0007751D">
        <w:rPr>
          <w:rFonts w:cs="Calibri"/>
          <w:sz w:val="20"/>
          <w:szCs w:val="20"/>
        </w:rPr>
        <w:t>Publicznych – Instytut Badawczy Dróg i Mostów, Warszawa 1997</w:t>
      </w:r>
      <w:r>
        <w:rPr>
          <w:rFonts w:cs="Calibri"/>
          <w:sz w:val="20"/>
          <w:szCs w:val="20"/>
        </w:rPr>
        <w:t>.</w:t>
      </w:r>
    </w:p>
    <w:sectPr w:rsidR="001C1CE2" w:rsidRPr="0007751D" w:rsidSect="00E57AAC">
      <w:headerReference w:type="default" r:id="rId11"/>
      <w:footerReference w:type="default" r:id="rId12"/>
      <w:pgSz w:w="11906" w:h="16838"/>
      <w:pgMar w:top="1417" w:right="849" w:bottom="1134" w:left="1417" w:header="426" w:footer="33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1CE2" w:rsidRDefault="001C1CE2" w:rsidP="003854EB">
      <w:pPr>
        <w:spacing w:after="0" w:line="240" w:lineRule="auto"/>
      </w:pPr>
      <w:r>
        <w:separator/>
      </w:r>
    </w:p>
  </w:endnote>
  <w:endnote w:type="continuationSeparator" w:id="0">
    <w:p w:rsidR="001C1CE2" w:rsidRDefault="001C1CE2" w:rsidP="003854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IDFont+F1">
    <w:altName w:val="MS Mincho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1CE2" w:rsidRPr="002B6F84" w:rsidRDefault="001C1CE2" w:rsidP="003854EB">
    <w:pPr>
      <w:autoSpaceDE w:val="0"/>
      <w:autoSpaceDN w:val="0"/>
      <w:adjustRightInd w:val="0"/>
      <w:spacing w:after="0" w:line="240" w:lineRule="auto"/>
      <w:rPr>
        <w:rFonts w:cs="Calibri"/>
        <w:i/>
        <w:color w:val="000000"/>
        <w:sz w:val="14"/>
        <w:szCs w:val="20"/>
      </w:rPr>
    </w:pPr>
    <w:r w:rsidRPr="002B6F84">
      <w:rPr>
        <w:rFonts w:cs="Calibri"/>
        <w:i/>
        <w:color w:val="000000"/>
        <w:sz w:val="14"/>
        <w:szCs w:val="20"/>
      </w:rPr>
      <w:t>Wykonał: R. Madej</w:t>
    </w:r>
  </w:p>
  <w:p w:rsidR="001C1CE2" w:rsidRDefault="001C1CE2" w:rsidP="00303FBB">
    <w:pPr>
      <w:pStyle w:val="Footer"/>
      <w:tabs>
        <w:tab w:val="left" w:pos="336"/>
        <w:tab w:val="right" w:pos="9356"/>
      </w:tabs>
    </w:pPr>
    <w:r>
      <w:tab/>
    </w:r>
    <w:r>
      <w:tab/>
    </w:r>
    <w:r>
      <w:tab/>
    </w:r>
    <w:r>
      <w:tab/>
    </w:r>
    <w:fldSimple w:instr="PAGE   \* MERGEFORMAT">
      <w:r>
        <w:rPr>
          <w:noProof/>
        </w:rPr>
        <w:t>6</w:t>
      </w:r>
    </w:fldSimple>
  </w:p>
  <w:p w:rsidR="001C1CE2" w:rsidRDefault="001C1CE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1CE2" w:rsidRDefault="001C1CE2" w:rsidP="003854EB">
      <w:pPr>
        <w:spacing w:after="0" w:line="240" w:lineRule="auto"/>
      </w:pPr>
      <w:r>
        <w:separator/>
      </w:r>
    </w:p>
  </w:footnote>
  <w:footnote w:type="continuationSeparator" w:id="0">
    <w:p w:rsidR="001C1CE2" w:rsidRDefault="001C1CE2" w:rsidP="003854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1CE2" w:rsidRPr="00D10B2C" w:rsidRDefault="001C1CE2" w:rsidP="00B673E0">
    <w:pPr>
      <w:autoSpaceDE w:val="0"/>
      <w:autoSpaceDN w:val="0"/>
      <w:adjustRightInd w:val="0"/>
      <w:spacing w:after="0" w:line="240" w:lineRule="auto"/>
      <w:jc w:val="right"/>
      <w:rPr>
        <w:rFonts w:ascii="CIDFont+F1" w:hAnsi="CIDFont+F1" w:cs="CIDFont+F1"/>
        <w:color w:val="000000"/>
        <w:sz w:val="16"/>
        <w:szCs w:val="20"/>
      </w:rPr>
    </w:pPr>
    <w:r w:rsidRPr="00D10B2C">
      <w:rPr>
        <w:rFonts w:ascii="CIDFont+F1" w:hAnsi="CIDFont+F1" w:cs="CIDFont+F1"/>
        <w:color w:val="000000"/>
        <w:sz w:val="16"/>
        <w:szCs w:val="20"/>
      </w:rPr>
      <w:t xml:space="preserve">STWiOR nr </w:t>
    </w:r>
    <w:r>
      <w:rPr>
        <w:rFonts w:ascii="CIDFont+F1" w:hAnsi="CIDFont+F1" w:cs="CIDFont+F1"/>
        <w:color w:val="000000"/>
        <w:sz w:val="16"/>
        <w:szCs w:val="20"/>
      </w:rPr>
      <w:t>5</w:t>
    </w:r>
  </w:p>
  <w:p w:rsidR="001C1CE2" w:rsidRPr="008C778B" w:rsidRDefault="001C1CE2" w:rsidP="00D275F7">
    <w:pPr>
      <w:jc w:val="right"/>
      <w:rPr>
        <w:rFonts w:cs="Calibri"/>
        <w:b/>
        <w:color w:val="808080"/>
        <w:sz w:val="16"/>
        <w:szCs w:val="16"/>
      </w:rPr>
    </w:pPr>
    <w:r>
      <w:rPr>
        <w:noProof/>
        <w:lang w:eastAsia="pl-PL"/>
      </w:rPr>
      <w:pict>
        <v:line id="_x0000_s2049" style="position:absolute;left:0;text-align:left;z-index:251660288" from=".3pt,13.35pt" to="477pt,13.35pt" strokecolor="gray"/>
      </w:pict>
    </w:r>
    <w:r w:rsidRPr="008C778B">
      <w:rPr>
        <w:rFonts w:cs="Calibri"/>
        <w:sz w:val="14"/>
        <w:szCs w:val="16"/>
      </w:rPr>
      <w:t xml:space="preserve">IZP.271.2.13.2023               </w:t>
    </w:r>
    <w:r>
      <w:rPr>
        <w:rFonts w:cs="Calibri"/>
        <w:sz w:val="14"/>
        <w:szCs w:val="16"/>
      </w:rPr>
      <w:t xml:space="preserve">                                         </w:t>
    </w:r>
    <w:r w:rsidRPr="008C778B">
      <w:rPr>
        <w:rFonts w:cs="Calibri"/>
        <w:sz w:val="14"/>
        <w:szCs w:val="16"/>
      </w:rPr>
      <w:t xml:space="preserve">                                                                                                                   „Przebudowa ul. Warzywnej w Dąbrowie Tarnowskiej”</w:t>
    </w:r>
  </w:p>
  <w:p w:rsidR="001C1CE2" w:rsidRPr="00B673E0" w:rsidRDefault="001C1CE2" w:rsidP="00D275F7">
    <w:pPr>
      <w:spacing w:after="0" w:line="240" w:lineRule="auto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06048E"/>
    <w:multiLevelType w:val="hybridMultilevel"/>
    <w:tmpl w:val="B76C6134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55B2D2D"/>
    <w:multiLevelType w:val="hybridMultilevel"/>
    <w:tmpl w:val="C8783A54"/>
    <w:lvl w:ilvl="0" w:tplc="04150011">
      <w:start w:val="1"/>
      <w:numFmt w:val="decimal"/>
      <w:lvlText w:val="%1)"/>
      <w:lvlJc w:val="left"/>
      <w:pPr>
        <w:ind w:left="1901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621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341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061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781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501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221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941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661" w:hanging="180"/>
      </w:pPr>
      <w:rPr>
        <w:rFonts w:cs="Times New Roman"/>
      </w:rPr>
    </w:lvl>
  </w:abstractNum>
  <w:abstractNum w:abstractNumId="2">
    <w:nsid w:val="10873520"/>
    <w:multiLevelType w:val="hybridMultilevel"/>
    <w:tmpl w:val="8586D668"/>
    <w:lvl w:ilvl="0" w:tplc="04150001">
      <w:start w:val="1"/>
      <w:numFmt w:val="bullet"/>
      <w:lvlText w:val=""/>
      <w:lvlJc w:val="left"/>
      <w:pPr>
        <w:ind w:left="1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4" w:hanging="360"/>
      </w:pPr>
      <w:rPr>
        <w:rFonts w:ascii="Wingdings" w:hAnsi="Wingdings" w:hint="default"/>
      </w:rPr>
    </w:lvl>
  </w:abstractNum>
  <w:abstractNum w:abstractNumId="3">
    <w:nsid w:val="119773E2"/>
    <w:multiLevelType w:val="hybridMultilevel"/>
    <w:tmpl w:val="07500BD4"/>
    <w:lvl w:ilvl="0" w:tplc="04150011">
      <w:start w:val="1"/>
      <w:numFmt w:val="decimal"/>
      <w:lvlText w:val="%1)"/>
      <w:lvlJc w:val="left"/>
      <w:pPr>
        <w:ind w:left="1476" w:hanging="360"/>
      </w:pPr>
      <w:rPr>
        <w:rFonts w:cs="Times New Roman" w:hint="default"/>
      </w:rPr>
    </w:lvl>
    <w:lvl w:ilvl="1" w:tplc="22707C2E">
      <w:start w:val="1"/>
      <w:numFmt w:val="decimal"/>
      <w:lvlText w:val="%2."/>
      <w:lvlJc w:val="left"/>
      <w:pPr>
        <w:ind w:left="2196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91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63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5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7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9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51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236" w:hanging="180"/>
      </w:pPr>
      <w:rPr>
        <w:rFonts w:cs="Times New Roman"/>
      </w:rPr>
    </w:lvl>
  </w:abstractNum>
  <w:abstractNum w:abstractNumId="4">
    <w:nsid w:val="14331925"/>
    <w:multiLevelType w:val="hybridMultilevel"/>
    <w:tmpl w:val="B010F4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B0009B8"/>
    <w:multiLevelType w:val="hybridMultilevel"/>
    <w:tmpl w:val="06D68722"/>
    <w:lvl w:ilvl="0" w:tplc="04150001">
      <w:start w:val="1"/>
      <w:numFmt w:val="bullet"/>
      <w:lvlText w:val=""/>
      <w:lvlJc w:val="left"/>
      <w:pPr>
        <w:ind w:left="1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4" w:hanging="360"/>
      </w:pPr>
      <w:rPr>
        <w:rFonts w:ascii="Wingdings" w:hAnsi="Wingdings" w:hint="default"/>
      </w:rPr>
    </w:lvl>
  </w:abstractNum>
  <w:abstractNum w:abstractNumId="6">
    <w:nsid w:val="1B2A4CF2"/>
    <w:multiLevelType w:val="hybridMultilevel"/>
    <w:tmpl w:val="4F20D03C"/>
    <w:lvl w:ilvl="0" w:tplc="04150011">
      <w:start w:val="1"/>
      <w:numFmt w:val="decimal"/>
      <w:lvlText w:val="%1)"/>
      <w:lvlJc w:val="left"/>
      <w:pPr>
        <w:ind w:left="1476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19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91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63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5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7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9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51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236" w:hanging="180"/>
      </w:pPr>
      <w:rPr>
        <w:rFonts w:cs="Times New Roman"/>
      </w:rPr>
    </w:lvl>
  </w:abstractNum>
  <w:abstractNum w:abstractNumId="7">
    <w:nsid w:val="1B4300F7"/>
    <w:multiLevelType w:val="hybridMultilevel"/>
    <w:tmpl w:val="62E2EB22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>
    <w:nsid w:val="1D9D5618"/>
    <w:multiLevelType w:val="hybridMultilevel"/>
    <w:tmpl w:val="2E7EFB62"/>
    <w:lvl w:ilvl="0" w:tplc="04150001">
      <w:start w:val="1"/>
      <w:numFmt w:val="bullet"/>
      <w:lvlText w:val=""/>
      <w:lvlJc w:val="left"/>
      <w:pPr>
        <w:ind w:left="14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abstractNum w:abstractNumId="9">
    <w:nsid w:val="23482FB3"/>
    <w:multiLevelType w:val="hybridMultilevel"/>
    <w:tmpl w:val="2CB4738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85051E4"/>
    <w:multiLevelType w:val="hybridMultilevel"/>
    <w:tmpl w:val="AA6EE4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F8255F5"/>
    <w:multiLevelType w:val="hybridMultilevel"/>
    <w:tmpl w:val="BB183BC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FA6389B"/>
    <w:multiLevelType w:val="hybridMultilevel"/>
    <w:tmpl w:val="B21ECA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525F8B"/>
    <w:multiLevelType w:val="hybridMultilevel"/>
    <w:tmpl w:val="0E5EA50A"/>
    <w:lvl w:ilvl="0" w:tplc="5A783AA4">
      <w:start w:val="1"/>
      <w:numFmt w:val="decimal"/>
      <w:lvlText w:val="%1."/>
      <w:lvlJc w:val="left"/>
      <w:pPr>
        <w:ind w:left="72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4" w:hanging="180"/>
      </w:pPr>
      <w:rPr>
        <w:rFonts w:cs="Times New Roman"/>
      </w:rPr>
    </w:lvl>
  </w:abstractNum>
  <w:abstractNum w:abstractNumId="14">
    <w:nsid w:val="31EB2F18"/>
    <w:multiLevelType w:val="hybridMultilevel"/>
    <w:tmpl w:val="BEF66108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7">
      <w:start w:val="1"/>
      <w:numFmt w:val="lowerLetter"/>
      <w:lvlText w:val="%3)"/>
      <w:lvlJc w:val="lef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57623FA"/>
    <w:multiLevelType w:val="hybridMultilevel"/>
    <w:tmpl w:val="CD74850C"/>
    <w:lvl w:ilvl="0" w:tplc="C860BB16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60F1F76"/>
    <w:multiLevelType w:val="hybridMultilevel"/>
    <w:tmpl w:val="513A90BC"/>
    <w:lvl w:ilvl="0" w:tplc="04150001">
      <w:start w:val="1"/>
      <w:numFmt w:val="bullet"/>
      <w:lvlText w:val=""/>
      <w:lvlJc w:val="left"/>
      <w:pPr>
        <w:ind w:left="1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4" w:hanging="360"/>
      </w:pPr>
      <w:rPr>
        <w:rFonts w:ascii="Wingdings" w:hAnsi="Wingdings" w:hint="default"/>
      </w:rPr>
    </w:lvl>
  </w:abstractNum>
  <w:abstractNum w:abstractNumId="17">
    <w:nsid w:val="36D536FE"/>
    <w:multiLevelType w:val="hybridMultilevel"/>
    <w:tmpl w:val="E6780678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387E09AE"/>
    <w:multiLevelType w:val="hybridMultilevel"/>
    <w:tmpl w:val="2E0840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04163D"/>
    <w:multiLevelType w:val="hybridMultilevel"/>
    <w:tmpl w:val="ACA25C52"/>
    <w:lvl w:ilvl="0" w:tplc="04150001">
      <w:start w:val="1"/>
      <w:numFmt w:val="bullet"/>
      <w:lvlText w:val=""/>
      <w:lvlJc w:val="left"/>
      <w:pPr>
        <w:ind w:left="14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abstractNum w:abstractNumId="20">
    <w:nsid w:val="3CE97964"/>
    <w:multiLevelType w:val="hybridMultilevel"/>
    <w:tmpl w:val="8B6AE1F4"/>
    <w:lvl w:ilvl="0" w:tplc="04150001">
      <w:start w:val="1"/>
      <w:numFmt w:val="bullet"/>
      <w:lvlText w:val=""/>
      <w:lvlJc w:val="left"/>
      <w:pPr>
        <w:ind w:left="1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4" w:hanging="360"/>
      </w:pPr>
      <w:rPr>
        <w:rFonts w:ascii="Wingdings" w:hAnsi="Wingdings" w:hint="default"/>
      </w:rPr>
    </w:lvl>
  </w:abstractNum>
  <w:abstractNum w:abstractNumId="21">
    <w:nsid w:val="3E050DBF"/>
    <w:multiLevelType w:val="hybridMultilevel"/>
    <w:tmpl w:val="FC0042C8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45424086"/>
    <w:multiLevelType w:val="hybridMultilevel"/>
    <w:tmpl w:val="25DE15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57E446A"/>
    <w:multiLevelType w:val="hybridMultilevel"/>
    <w:tmpl w:val="AC5CCC80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>
    <w:nsid w:val="47EB46AD"/>
    <w:multiLevelType w:val="hybridMultilevel"/>
    <w:tmpl w:val="295610E8"/>
    <w:lvl w:ilvl="0" w:tplc="04150001">
      <w:start w:val="1"/>
      <w:numFmt w:val="bullet"/>
      <w:lvlText w:val=""/>
      <w:lvlJc w:val="left"/>
      <w:pPr>
        <w:ind w:left="22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2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6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8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8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4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963" w:hanging="360"/>
      </w:pPr>
      <w:rPr>
        <w:rFonts w:ascii="Wingdings" w:hAnsi="Wingdings" w:hint="default"/>
      </w:rPr>
    </w:lvl>
  </w:abstractNum>
  <w:abstractNum w:abstractNumId="25">
    <w:nsid w:val="48D54AEA"/>
    <w:multiLevelType w:val="hybridMultilevel"/>
    <w:tmpl w:val="8842E96E"/>
    <w:lvl w:ilvl="0" w:tplc="04150017">
      <w:start w:val="1"/>
      <w:numFmt w:val="lowerLetter"/>
      <w:lvlText w:val="%1)"/>
      <w:lvlJc w:val="left"/>
      <w:pPr>
        <w:ind w:left="1146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6">
    <w:nsid w:val="48FC415A"/>
    <w:multiLevelType w:val="hybridMultilevel"/>
    <w:tmpl w:val="9BCEC68C"/>
    <w:lvl w:ilvl="0" w:tplc="0FC41700">
      <w:start w:val="1"/>
      <w:numFmt w:val="decimal"/>
      <w:lvlText w:val="%1."/>
      <w:lvlJc w:val="left"/>
      <w:pPr>
        <w:ind w:left="121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7">
    <w:nsid w:val="49EE63FE"/>
    <w:multiLevelType w:val="hybridMultilevel"/>
    <w:tmpl w:val="BE36BA30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>
    <w:nsid w:val="4ACF1EED"/>
    <w:multiLevelType w:val="hybridMultilevel"/>
    <w:tmpl w:val="51BC2D50"/>
    <w:lvl w:ilvl="0" w:tplc="04150001">
      <w:start w:val="1"/>
      <w:numFmt w:val="bullet"/>
      <w:lvlText w:val=""/>
      <w:lvlJc w:val="left"/>
      <w:pPr>
        <w:ind w:left="1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4" w:hanging="360"/>
      </w:pPr>
      <w:rPr>
        <w:rFonts w:ascii="Wingdings" w:hAnsi="Wingdings" w:hint="default"/>
      </w:rPr>
    </w:lvl>
  </w:abstractNum>
  <w:abstractNum w:abstractNumId="29">
    <w:nsid w:val="4C616C14"/>
    <w:multiLevelType w:val="hybridMultilevel"/>
    <w:tmpl w:val="F3BC37C4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0">
    <w:nsid w:val="517B1433"/>
    <w:multiLevelType w:val="hybridMultilevel"/>
    <w:tmpl w:val="52026950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>
    <w:nsid w:val="54CE3259"/>
    <w:multiLevelType w:val="hybridMultilevel"/>
    <w:tmpl w:val="9B5ED374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32">
    <w:nsid w:val="560C4C62"/>
    <w:multiLevelType w:val="hybridMultilevel"/>
    <w:tmpl w:val="0C162954"/>
    <w:lvl w:ilvl="0" w:tplc="F37A5696">
      <w:start w:val="1"/>
      <w:numFmt w:val="decimal"/>
      <w:lvlText w:val="%1)"/>
      <w:lvlJc w:val="left"/>
      <w:pPr>
        <w:ind w:left="1648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236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08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80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52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24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96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68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408" w:hanging="180"/>
      </w:pPr>
      <w:rPr>
        <w:rFonts w:cs="Times New Roman"/>
      </w:rPr>
    </w:lvl>
  </w:abstractNum>
  <w:abstractNum w:abstractNumId="33">
    <w:nsid w:val="58062C3C"/>
    <w:multiLevelType w:val="hybridMultilevel"/>
    <w:tmpl w:val="89B0BB8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5A4D7F9C"/>
    <w:multiLevelType w:val="hybridMultilevel"/>
    <w:tmpl w:val="BD722F5C"/>
    <w:lvl w:ilvl="0" w:tplc="04150001">
      <w:start w:val="1"/>
      <w:numFmt w:val="bullet"/>
      <w:lvlText w:val=""/>
      <w:lvlJc w:val="left"/>
      <w:pPr>
        <w:ind w:left="1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6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4" w:hanging="360"/>
      </w:pPr>
      <w:rPr>
        <w:rFonts w:ascii="Wingdings" w:hAnsi="Wingdings" w:hint="default"/>
      </w:rPr>
    </w:lvl>
  </w:abstractNum>
  <w:abstractNum w:abstractNumId="35">
    <w:nsid w:val="5B646735"/>
    <w:multiLevelType w:val="hybridMultilevel"/>
    <w:tmpl w:val="5CACA38C"/>
    <w:lvl w:ilvl="0" w:tplc="04150001">
      <w:start w:val="1"/>
      <w:numFmt w:val="bullet"/>
      <w:lvlText w:val=""/>
      <w:lvlJc w:val="left"/>
      <w:pPr>
        <w:ind w:left="14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abstractNum w:abstractNumId="36">
    <w:nsid w:val="5BDD02E7"/>
    <w:multiLevelType w:val="hybridMultilevel"/>
    <w:tmpl w:val="1786B954"/>
    <w:lvl w:ilvl="0" w:tplc="0FC4170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7">
    <w:nsid w:val="60126B03"/>
    <w:multiLevelType w:val="hybridMultilevel"/>
    <w:tmpl w:val="D51644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C860BB16">
      <w:start w:val="1"/>
      <w:numFmt w:val="lowerLetter"/>
      <w:lvlText w:val="%2)"/>
      <w:lvlJc w:val="left"/>
      <w:pPr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>
    <w:nsid w:val="62F773F6"/>
    <w:multiLevelType w:val="hybridMultilevel"/>
    <w:tmpl w:val="F1D06748"/>
    <w:lvl w:ilvl="0" w:tplc="04150017">
      <w:start w:val="1"/>
      <w:numFmt w:val="lowerLetter"/>
      <w:lvlText w:val="%1)"/>
      <w:lvlJc w:val="left"/>
      <w:pPr>
        <w:ind w:left="1146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39">
    <w:nsid w:val="63050C1C"/>
    <w:multiLevelType w:val="hybridMultilevel"/>
    <w:tmpl w:val="90E08A08"/>
    <w:lvl w:ilvl="0" w:tplc="04150001">
      <w:start w:val="1"/>
      <w:numFmt w:val="bullet"/>
      <w:lvlText w:val=""/>
      <w:lvlJc w:val="left"/>
      <w:pPr>
        <w:ind w:left="147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abstractNum w:abstractNumId="40">
    <w:nsid w:val="69867A2B"/>
    <w:multiLevelType w:val="hybridMultilevel"/>
    <w:tmpl w:val="24CC09F8"/>
    <w:lvl w:ilvl="0" w:tplc="04150011">
      <w:start w:val="1"/>
      <w:numFmt w:val="decimal"/>
      <w:lvlText w:val="%1)"/>
      <w:lvlJc w:val="left"/>
      <w:pPr>
        <w:ind w:left="1146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41">
    <w:nsid w:val="70246A75"/>
    <w:multiLevelType w:val="hybridMultilevel"/>
    <w:tmpl w:val="959E6DFA"/>
    <w:lvl w:ilvl="0" w:tplc="04150017">
      <w:start w:val="1"/>
      <w:numFmt w:val="lowerLetter"/>
      <w:lvlText w:val="%1)"/>
      <w:lvlJc w:val="left"/>
      <w:pPr>
        <w:ind w:left="1429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42">
    <w:nsid w:val="70EB2A2E"/>
    <w:multiLevelType w:val="hybridMultilevel"/>
    <w:tmpl w:val="D6FE721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>
    <w:nsid w:val="72225E7D"/>
    <w:multiLevelType w:val="hybridMultilevel"/>
    <w:tmpl w:val="4658EDF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>
    <w:nsid w:val="74081E39"/>
    <w:multiLevelType w:val="hybridMultilevel"/>
    <w:tmpl w:val="51DE09F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>
    <w:nsid w:val="79910032"/>
    <w:multiLevelType w:val="hybridMultilevel"/>
    <w:tmpl w:val="54FCD6C6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6">
    <w:nsid w:val="7A975627"/>
    <w:multiLevelType w:val="hybridMultilevel"/>
    <w:tmpl w:val="9B00FC90"/>
    <w:lvl w:ilvl="0" w:tplc="0415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47">
    <w:nsid w:val="7B8F74F9"/>
    <w:multiLevelType w:val="hybridMultilevel"/>
    <w:tmpl w:val="A1DC09A8"/>
    <w:lvl w:ilvl="0" w:tplc="0415000F">
      <w:start w:val="1"/>
      <w:numFmt w:val="decimal"/>
      <w:lvlText w:val="%1."/>
      <w:lvlJc w:val="left"/>
      <w:pPr>
        <w:ind w:left="1476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219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91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63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5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7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9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51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236" w:hanging="180"/>
      </w:pPr>
      <w:rPr>
        <w:rFonts w:cs="Times New Roman"/>
      </w:rPr>
    </w:lvl>
  </w:abstractNum>
  <w:abstractNum w:abstractNumId="48">
    <w:nsid w:val="7E4F691E"/>
    <w:multiLevelType w:val="hybridMultilevel"/>
    <w:tmpl w:val="E74AA094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9">
    <w:nsid w:val="7ED874BB"/>
    <w:multiLevelType w:val="hybridMultilevel"/>
    <w:tmpl w:val="1182128A"/>
    <w:lvl w:ilvl="0" w:tplc="C860BB16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4"/>
  </w:num>
  <w:num w:numId="2">
    <w:abstractNumId w:val="37"/>
  </w:num>
  <w:num w:numId="3">
    <w:abstractNumId w:val="22"/>
  </w:num>
  <w:num w:numId="4">
    <w:abstractNumId w:val="25"/>
  </w:num>
  <w:num w:numId="5">
    <w:abstractNumId w:val="49"/>
  </w:num>
  <w:num w:numId="6">
    <w:abstractNumId w:val="15"/>
  </w:num>
  <w:num w:numId="7">
    <w:abstractNumId w:val="43"/>
  </w:num>
  <w:num w:numId="8">
    <w:abstractNumId w:val="27"/>
  </w:num>
  <w:num w:numId="9">
    <w:abstractNumId w:val="40"/>
  </w:num>
  <w:num w:numId="10">
    <w:abstractNumId w:val="33"/>
  </w:num>
  <w:num w:numId="11">
    <w:abstractNumId w:val="31"/>
  </w:num>
  <w:num w:numId="12">
    <w:abstractNumId w:val="38"/>
  </w:num>
  <w:num w:numId="13">
    <w:abstractNumId w:val="30"/>
  </w:num>
  <w:num w:numId="14">
    <w:abstractNumId w:val="32"/>
  </w:num>
  <w:num w:numId="15">
    <w:abstractNumId w:val="42"/>
  </w:num>
  <w:num w:numId="16">
    <w:abstractNumId w:val="21"/>
  </w:num>
  <w:num w:numId="17">
    <w:abstractNumId w:val="48"/>
  </w:num>
  <w:num w:numId="18">
    <w:abstractNumId w:val="14"/>
  </w:num>
  <w:num w:numId="19">
    <w:abstractNumId w:val="41"/>
  </w:num>
  <w:num w:numId="20">
    <w:abstractNumId w:val="12"/>
  </w:num>
  <w:num w:numId="21">
    <w:abstractNumId w:val="18"/>
  </w:num>
  <w:num w:numId="22">
    <w:abstractNumId w:val="47"/>
  </w:num>
  <w:num w:numId="23">
    <w:abstractNumId w:val="3"/>
  </w:num>
  <w:num w:numId="24">
    <w:abstractNumId w:val="8"/>
  </w:num>
  <w:num w:numId="25">
    <w:abstractNumId w:val="35"/>
  </w:num>
  <w:num w:numId="26">
    <w:abstractNumId w:val="17"/>
  </w:num>
  <w:num w:numId="27">
    <w:abstractNumId w:val="9"/>
  </w:num>
  <w:num w:numId="28">
    <w:abstractNumId w:val="4"/>
  </w:num>
  <w:num w:numId="29">
    <w:abstractNumId w:val="19"/>
  </w:num>
  <w:num w:numId="30">
    <w:abstractNumId w:val="1"/>
  </w:num>
  <w:num w:numId="31">
    <w:abstractNumId w:val="0"/>
  </w:num>
  <w:num w:numId="32">
    <w:abstractNumId w:val="39"/>
  </w:num>
  <w:num w:numId="33">
    <w:abstractNumId w:val="6"/>
  </w:num>
  <w:num w:numId="34">
    <w:abstractNumId w:val="45"/>
  </w:num>
  <w:num w:numId="35">
    <w:abstractNumId w:val="7"/>
  </w:num>
  <w:num w:numId="36">
    <w:abstractNumId w:val="29"/>
  </w:num>
  <w:num w:numId="37">
    <w:abstractNumId w:val="34"/>
  </w:num>
  <w:num w:numId="38">
    <w:abstractNumId w:val="10"/>
  </w:num>
  <w:num w:numId="39">
    <w:abstractNumId w:val="24"/>
  </w:num>
  <w:num w:numId="40">
    <w:abstractNumId w:val="23"/>
  </w:num>
  <w:num w:numId="41">
    <w:abstractNumId w:val="46"/>
  </w:num>
  <w:num w:numId="42">
    <w:abstractNumId w:val="36"/>
  </w:num>
  <w:num w:numId="43">
    <w:abstractNumId w:val="26"/>
  </w:num>
  <w:num w:numId="44">
    <w:abstractNumId w:val="20"/>
  </w:num>
  <w:num w:numId="45">
    <w:abstractNumId w:val="16"/>
  </w:num>
  <w:num w:numId="46">
    <w:abstractNumId w:val="5"/>
  </w:num>
  <w:num w:numId="47">
    <w:abstractNumId w:val="2"/>
  </w:num>
  <w:num w:numId="48">
    <w:abstractNumId w:val="28"/>
  </w:num>
  <w:num w:numId="49">
    <w:abstractNumId w:val="11"/>
  </w:num>
  <w:num w:numId="50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28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854EB"/>
    <w:rsid w:val="00002A5B"/>
    <w:rsid w:val="00006F58"/>
    <w:rsid w:val="00011494"/>
    <w:rsid w:val="00025C18"/>
    <w:rsid w:val="00030F4B"/>
    <w:rsid w:val="00044AEC"/>
    <w:rsid w:val="000541B1"/>
    <w:rsid w:val="000634D6"/>
    <w:rsid w:val="000715B9"/>
    <w:rsid w:val="0007751D"/>
    <w:rsid w:val="000A27C1"/>
    <w:rsid w:val="000E7F6D"/>
    <w:rsid w:val="000F33AE"/>
    <w:rsid w:val="0011412D"/>
    <w:rsid w:val="001201FA"/>
    <w:rsid w:val="0012611B"/>
    <w:rsid w:val="00157224"/>
    <w:rsid w:val="00165D0B"/>
    <w:rsid w:val="00165DE3"/>
    <w:rsid w:val="00176307"/>
    <w:rsid w:val="001903B8"/>
    <w:rsid w:val="001A2781"/>
    <w:rsid w:val="001A7C69"/>
    <w:rsid w:val="001B205A"/>
    <w:rsid w:val="001B5044"/>
    <w:rsid w:val="001C1CE2"/>
    <w:rsid w:val="001C31F4"/>
    <w:rsid w:val="001C5EBE"/>
    <w:rsid w:val="001D0D9F"/>
    <w:rsid w:val="001D706D"/>
    <w:rsid w:val="001F4B56"/>
    <w:rsid w:val="002234BE"/>
    <w:rsid w:val="002333EB"/>
    <w:rsid w:val="00261B5F"/>
    <w:rsid w:val="00263CAE"/>
    <w:rsid w:val="00266330"/>
    <w:rsid w:val="0029494C"/>
    <w:rsid w:val="002A4012"/>
    <w:rsid w:val="002B6F84"/>
    <w:rsid w:val="002D1E55"/>
    <w:rsid w:val="002E3C57"/>
    <w:rsid w:val="00303FBB"/>
    <w:rsid w:val="00306A09"/>
    <w:rsid w:val="00330131"/>
    <w:rsid w:val="003451D4"/>
    <w:rsid w:val="003479B3"/>
    <w:rsid w:val="0035500C"/>
    <w:rsid w:val="003570BB"/>
    <w:rsid w:val="00360D8C"/>
    <w:rsid w:val="003854EB"/>
    <w:rsid w:val="003A6B65"/>
    <w:rsid w:val="00403D3E"/>
    <w:rsid w:val="0041459C"/>
    <w:rsid w:val="0046137A"/>
    <w:rsid w:val="0046215F"/>
    <w:rsid w:val="00472890"/>
    <w:rsid w:val="0049226D"/>
    <w:rsid w:val="004C1D86"/>
    <w:rsid w:val="004E0ECB"/>
    <w:rsid w:val="004F3842"/>
    <w:rsid w:val="0052538B"/>
    <w:rsid w:val="00525832"/>
    <w:rsid w:val="00543EF4"/>
    <w:rsid w:val="00560466"/>
    <w:rsid w:val="00567DEA"/>
    <w:rsid w:val="005849C8"/>
    <w:rsid w:val="005A2B5D"/>
    <w:rsid w:val="005E13A7"/>
    <w:rsid w:val="005E1635"/>
    <w:rsid w:val="005E4487"/>
    <w:rsid w:val="00607D64"/>
    <w:rsid w:val="00622036"/>
    <w:rsid w:val="00623B00"/>
    <w:rsid w:val="00653D37"/>
    <w:rsid w:val="00657614"/>
    <w:rsid w:val="00666603"/>
    <w:rsid w:val="0067228C"/>
    <w:rsid w:val="00681413"/>
    <w:rsid w:val="0069087E"/>
    <w:rsid w:val="006A45F5"/>
    <w:rsid w:val="006D106F"/>
    <w:rsid w:val="006E0600"/>
    <w:rsid w:val="006F562C"/>
    <w:rsid w:val="00713621"/>
    <w:rsid w:val="0072481A"/>
    <w:rsid w:val="00724C81"/>
    <w:rsid w:val="00751C77"/>
    <w:rsid w:val="00773D03"/>
    <w:rsid w:val="0078624E"/>
    <w:rsid w:val="00787F42"/>
    <w:rsid w:val="00794DF7"/>
    <w:rsid w:val="007B7F62"/>
    <w:rsid w:val="007C2E58"/>
    <w:rsid w:val="007C3D45"/>
    <w:rsid w:val="007C417C"/>
    <w:rsid w:val="007D5782"/>
    <w:rsid w:val="007D6189"/>
    <w:rsid w:val="007E0692"/>
    <w:rsid w:val="008065A5"/>
    <w:rsid w:val="00816541"/>
    <w:rsid w:val="008308E8"/>
    <w:rsid w:val="008566B2"/>
    <w:rsid w:val="008C003F"/>
    <w:rsid w:val="008C778B"/>
    <w:rsid w:val="008E1078"/>
    <w:rsid w:val="008E6148"/>
    <w:rsid w:val="009033F0"/>
    <w:rsid w:val="0090684A"/>
    <w:rsid w:val="00916C8D"/>
    <w:rsid w:val="009441D9"/>
    <w:rsid w:val="00954D05"/>
    <w:rsid w:val="00982849"/>
    <w:rsid w:val="009A3AB8"/>
    <w:rsid w:val="009C6957"/>
    <w:rsid w:val="009E2B85"/>
    <w:rsid w:val="009F3582"/>
    <w:rsid w:val="00A11ABB"/>
    <w:rsid w:val="00A2605D"/>
    <w:rsid w:val="00A2651C"/>
    <w:rsid w:val="00A3176D"/>
    <w:rsid w:val="00A3679B"/>
    <w:rsid w:val="00A37CE6"/>
    <w:rsid w:val="00A82AE6"/>
    <w:rsid w:val="00A9562E"/>
    <w:rsid w:val="00AA5536"/>
    <w:rsid w:val="00AB76D8"/>
    <w:rsid w:val="00AC0816"/>
    <w:rsid w:val="00AC352D"/>
    <w:rsid w:val="00AC6A3D"/>
    <w:rsid w:val="00AF450E"/>
    <w:rsid w:val="00AF7096"/>
    <w:rsid w:val="00B0185A"/>
    <w:rsid w:val="00B02414"/>
    <w:rsid w:val="00B13430"/>
    <w:rsid w:val="00B32939"/>
    <w:rsid w:val="00B41C83"/>
    <w:rsid w:val="00B4621D"/>
    <w:rsid w:val="00B54B61"/>
    <w:rsid w:val="00B6446D"/>
    <w:rsid w:val="00B65116"/>
    <w:rsid w:val="00B673E0"/>
    <w:rsid w:val="00B77EFA"/>
    <w:rsid w:val="00B94FBE"/>
    <w:rsid w:val="00BA30F1"/>
    <w:rsid w:val="00BD7B58"/>
    <w:rsid w:val="00BF1181"/>
    <w:rsid w:val="00BF5126"/>
    <w:rsid w:val="00BF5607"/>
    <w:rsid w:val="00C07AA3"/>
    <w:rsid w:val="00C135C7"/>
    <w:rsid w:val="00C27FA9"/>
    <w:rsid w:val="00C50739"/>
    <w:rsid w:val="00C66B13"/>
    <w:rsid w:val="00C74B75"/>
    <w:rsid w:val="00C753C8"/>
    <w:rsid w:val="00C96E60"/>
    <w:rsid w:val="00CA2C92"/>
    <w:rsid w:val="00CA5CF5"/>
    <w:rsid w:val="00CE4D41"/>
    <w:rsid w:val="00CF56ED"/>
    <w:rsid w:val="00D01D3D"/>
    <w:rsid w:val="00D10B2C"/>
    <w:rsid w:val="00D23ADB"/>
    <w:rsid w:val="00D275F7"/>
    <w:rsid w:val="00D31011"/>
    <w:rsid w:val="00D507FB"/>
    <w:rsid w:val="00D52BAE"/>
    <w:rsid w:val="00D54E7E"/>
    <w:rsid w:val="00D67A76"/>
    <w:rsid w:val="00DB5345"/>
    <w:rsid w:val="00DC538C"/>
    <w:rsid w:val="00DD24C7"/>
    <w:rsid w:val="00E03AD5"/>
    <w:rsid w:val="00E15A58"/>
    <w:rsid w:val="00E174BD"/>
    <w:rsid w:val="00E4112E"/>
    <w:rsid w:val="00E57AAC"/>
    <w:rsid w:val="00E733EE"/>
    <w:rsid w:val="00E806C0"/>
    <w:rsid w:val="00E82025"/>
    <w:rsid w:val="00E86F9D"/>
    <w:rsid w:val="00E92AAC"/>
    <w:rsid w:val="00ED1287"/>
    <w:rsid w:val="00EF2C20"/>
    <w:rsid w:val="00F15391"/>
    <w:rsid w:val="00F20EB6"/>
    <w:rsid w:val="00F52CD3"/>
    <w:rsid w:val="00F6190D"/>
    <w:rsid w:val="00F61F26"/>
    <w:rsid w:val="00F621BD"/>
    <w:rsid w:val="00F67910"/>
    <w:rsid w:val="00F9047E"/>
    <w:rsid w:val="00FA4916"/>
    <w:rsid w:val="00FA4E21"/>
    <w:rsid w:val="00FB3239"/>
    <w:rsid w:val="00FB3C0E"/>
    <w:rsid w:val="00FC783B"/>
    <w:rsid w:val="00FC7ADB"/>
    <w:rsid w:val="00FD1E6A"/>
    <w:rsid w:val="00FE52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684A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3854E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3854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3854EB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854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3854EB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3854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854E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9A3AB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4918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65</TotalTime>
  <Pages>13</Pages>
  <Words>5372</Words>
  <Characters>-32766</Characters>
  <Application>Microsoft Office Outlook</Application>
  <DocSecurity>0</DocSecurity>
  <Lines>0</Lines>
  <Paragraphs>0</Paragraphs>
  <ScaleCrop>false</ScaleCrop>
  <Company>PKiI UMDT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Piotr</cp:lastModifiedBy>
  <cp:revision>58</cp:revision>
  <dcterms:created xsi:type="dcterms:W3CDTF">2023-06-13T12:23:00Z</dcterms:created>
  <dcterms:modified xsi:type="dcterms:W3CDTF">2023-06-15T07:38:00Z</dcterms:modified>
</cp:coreProperties>
</file>